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8A" w:rsidRPr="001B6C9E" w:rsidRDefault="00905866" w:rsidP="001D5A69">
      <w:pPr>
        <w:spacing w:after="0" w:line="240" w:lineRule="auto"/>
        <w:contextualSpacing/>
        <w:textAlignment w:val="baseline"/>
        <w:rPr>
          <w:rFonts w:ascii="Arial" w:eastAsia="Times New Roman" w:hAnsi="Arial" w:cs="Arial"/>
          <w:szCs w:val="20"/>
          <w:lang w:eastAsia="nl-NL"/>
        </w:rPr>
      </w:pPr>
      <w:r w:rsidRPr="001B6C9E">
        <w:rPr>
          <w:rFonts w:ascii="Arial" w:eastAsia="Times New Roman" w:hAnsi="Arial" w:cs="Arial"/>
          <w:szCs w:val="20"/>
          <w:lang w:eastAsia="nl-NL"/>
        </w:rPr>
        <w:t>[Titel]</w:t>
      </w:r>
      <w:r w:rsidR="006A248A" w:rsidRPr="001B6C9E">
        <w:rPr>
          <w:rFonts w:ascii="Arial" w:eastAsia="Times New Roman" w:hAnsi="Arial" w:cs="Arial"/>
          <w:szCs w:val="20"/>
          <w:lang w:eastAsia="nl-NL"/>
        </w:rPr>
        <w:t>Hoge</w:t>
      </w:r>
      <w:r w:rsidRPr="001B6C9E">
        <w:rPr>
          <w:rFonts w:ascii="Arial" w:eastAsia="Times New Roman" w:hAnsi="Arial" w:cs="Arial"/>
          <w:szCs w:val="20"/>
          <w:lang w:eastAsia="nl-NL"/>
        </w:rPr>
        <w:t xml:space="preserve"> </w:t>
      </w:r>
      <w:r w:rsidR="006A248A" w:rsidRPr="001B6C9E">
        <w:rPr>
          <w:rFonts w:ascii="Arial" w:eastAsia="Times New Roman" w:hAnsi="Arial" w:cs="Arial"/>
          <w:szCs w:val="20"/>
          <w:lang w:eastAsia="nl-NL"/>
        </w:rPr>
        <w:t>Raad</w:t>
      </w:r>
      <w:r w:rsidRPr="001B6C9E">
        <w:rPr>
          <w:rFonts w:ascii="Arial" w:eastAsia="Times New Roman" w:hAnsi="Arial" w:cs="Arial"/>
          <w:szCs w:val="20"/>
          <w:lang w:eastAsia="nl-NL"/>
        </w:rPr>
        <w:t xml:space="preserve"> </w:t>
      </w:r>
      <w:r w:rsidR="006A248A" w:rsidRPr="001B6C9E">
        <w:rPr>
          <w:rFonts w:ascii="Arial" w:eastAsia="Times New Roman" w:hAnsi="Arial" w:cs="Arial"/>
          <w:szCs w:val="20"/>
          <w:lang w:eastAsia="nl-NL"/>
        </w:rPr>
        <w:t>schept</w:t>
      </w:r>
      <w:r w:rsidRPr="001B6C9E">
        <w:rPr>
          <w:rFonts w:ascii="Arial" w:eastAsia="Times New Roman" w:hAnsi="Arial" w:cs="Arial"/>
          <w:szCs w:val="20"/>
          <w:lang w:eastAsia="nl-NL"/>
        </w:rPr>
        <w:t xml:space="preserve"> </w:t>
      </w:r>
      <w:r w:rsidR="006A248A" w:rsidRPr="001B6C9E">
        <w:rPr>
          <w:rFonts w:ascii="Arial" w:eastAsia="Times New Roman" w:hAnsi="Arial" w:cs="Arial"/>
          <w:szCs w:val="20"/>
          <w:lang w:eastAsia="nl-NL"/>
        </w:rPr>
        <w:t>duidelijkheid</w:t>
      </w:r>
      <w:r w:rsidRPr="001B6C9E">
        <w:rPr>
          <w:rFonts w:ascii="Arial" w:eastAsia="Times New Roman" w:hAnsi="Arial" w:cs="Arial"/>
          <w:szCs w:val="20"/>
          <w:lang w:eastAsia="nl-NL"/>
        </w:rPr>
        <w:t xml:space="preserve"> </w:t>
      </w:r>
      <w:r w:rsidR="006A248A" w:rsidRPr="001B6C9E">
        <w:rPr>
          <w:rFonts w:ascii="Arial" w:eastAsia="Times New Roman" w:hAnsi="Arial" w:cs="Arial"/>
          <w:szCs w:val="20"/>
          <w:lang w:eastAsia="nl-NL"/>
        </w:rPr>
        <w:t>over</w:t>
      </w:r>
      <w:r w:rsidRPr="001B6C9E">
        <w:rPr>
          <w:rFonts w:ascii="Arial" w:eastAsia="Times New Roman" w:hAnsi="Arial" w:cs="Arial"/>
          <w:szCs w:val="20"/>
          <w:lang w:eastAsia="nl-NL"/>
        </w:rPr>
        <w:t xml:space="preserve"> </w:t>
      </w:r>
      <w:r w:rsidR="00591C70" w:rsidRPr="001B6C9E">
        <w:rPr>
          <w:rFonts w:ascii="Arial" w:eastAsia="Times New Roman" w:hAnsi="Arial" w:cs="Arial"/>
          <w:szCs w:val="20"/>
          <w:lang w:eastAsia="nl-NL"/>
        </w:rPr>
        <w:t>‘</w:t>
      </w:r>
      <w:r w:rsidR="006A248A" w:rsidRPr="001B6C9E">
        <w:rPr>
          <w:rFonts w:ascii="Arial" w:eastAsia="Times New Roman" w:hAnsi="Arial" w:cs="Arial"/>
          <w:szCs w:val="20"/>
          <w:lang w:eastAsia="nl-NL"/>
        </w:rPr>
        <w:t>subrogatie</w:t>
      </w:r>
      <w:r w:rsidRPr="001B6C9E">
        <w:rPr>
          <w:rFonts w:ascii="Arial" w:eastAsia="Times New Roman" w:hAnsi="Arial" w:cs="Arial"/>
          <w:szCs w:val="20"/>
          <w:lang w:eastAsia="nl-NL"/>
        </w:rPr>
        <w:t xml:space="preserve"> </w:t>
      </w:r>
      <w:r w:rsidR="006A248A" w:rsidRPr="001B6C9E">
        <w:rPr>
          <w:rFonts w:ascii="Arial" w:eastAsia="Times New Roman" w:hAnsi="Arial" w:cs="Arial"/>
          <w:szCs w:val="20"/>
          <w:lang w:eastAsia="nl-NL"/>
        </w:rPr>
        <w:t>in</w:t>
      </w:r>
      <w:r w:rsidRPr="001B6C9E">
        <w:rPr>
          <w:rFonts w:ascii="Arial" w:eastAsia="Times New Roman" w:hAnsi="Arial" w:cs="Arial"/>
          <w:szCs w:val="20"/>
          <w:lang w:eastAsia="nl-NL"/>
        </w:rPr>
        <w:t xml:space="preserve"> </w:t>
      </w:r>
      <w:r w:rsidR="006A248A" w:rsidRPr="001B6C9E">
        <w:rPr>
          <w:rFonts w:ascii="Arial" w:eastAsia="Times New Roman" w:hAnsi="Arial" w:cs="Arial"/>
          <w:szCs w:val="20"/>
          <w:lang w:eastAsia="nl-NL"/>
        </w:rPr>
        <w:t>zieligheid</w:t>
      </w:r>
      <w:r w:rsidR="00591C70" w:rsidRPr="001B6C9E">
        <w:rPr>
          <w:rFonts w:ascii="Arial" w:eastAsia="Times New Roman" w:hAnsi="Arial" w:cs="Arial"/>
          <w:szCs w:val="20"/>
          <w:lang w:eastAsia="nl-NL"/>
        </w:rPr>
        <w:t>’</w:t>
      </w:r>
    </w:p>
    <w:p w:rsidR="00905866" w:rsidRPr="001B6C9E" w:rsidRDefault="00905866" w:rsidP="001D5A69">
      <w:pPr>
        <w:spacing w:after="0" w:line="240" w:lineRule="auto"/>
        <w:contextualSpacing/>
        <w:textAlignment w:val="baseline"/>
        <w:rPr>
          <w:rFonts w:ascii="Arial" w:eastAsia="Times New Roman" w:hAnsi="Arial" w:cs="Arial"/>
          <w:szCs w:val="20"/>
          <w:lang w:eastAsia="nl-NL"/>
        </w:rPr>
      </w:pPr>
      <w:r w:rsidRPr="001B6C9E">
        <w:rPr>
          <w:rFonts w:ascii="Arial" w:eastAsia="Times New Roman" w:hAnsi="Arial" w:cs="Arial"/>
          <w:szCs w:val="20"/>
          <w:lang w:eastAsia="nl-NL"/>
        </w:rPr>
        <w:t>[Subtitel]</w:t>
      </w:r>
      <w:r w:rsidR="00DA2021" w:rsidRPr="001B6C9E">
        <w:rPr>
          <w:rFonts w:ascii="Arial" w:eastAsia="Times New Roman" w:hAnsi="Arial" w:cs="Arial"/>
          <w:szCs w:val="20"/>
          <w:lang w:eastAsia="nl-NL"/>
        </w:rPr>
        <w:t>ECLI:NL:HR:2015:1873</w:t>
      </w:r>
    </w:p>
    <w:p w:rsidR="00905866" w:rsidRPr="001B6C9E" w:rsidRDefault="00905866" w:rsidP="001D5A69">
      <w:pPr>
        <w:spacing w:after="0" w:line="240" w:lineRule="auto"/>
        <w:contextualSpacing/>
        <w:textAlignment w:val="baseline"/>
        <w:rPr>
          <w:rFonts w:ascii="Arial" w:eastAsia="Times New Roman" w:hAnsi="Arial" w:cs="Arial"/>
          <w:szCs w:val="20"/>
          <w:lang w:eastAsia="nl-NL"/>
        </w:rPr>
      </w:pPr>
    </w:p>
    <w:p w:rsidR="00612E6B" w:rsidRPr="001B6C9E" w:rsidRDefault="00905866" w:rsidP="001D5A69">
      <w:pPr>
        <w:spacing w:line="240" w:lineRule="auto"/>
        <w:contextualSpacing/>
        <w:jc w:val="right"/>
        <w:rPr>
          <w:rFonts w:ascii="Arial" w:eastAsia="Times New Roman" w:hAnsi="Arial" w:cs="Arial"/>
          <w:szCs w:val="20"/>
          <w:lang w:eastAsia="nl-NL"/>
        </w:rPr>
      </w:pPr>
      <w:r w:rsidRPr="001B6C9E">
        <w:rPr>
          <w:rFonts w:ascii="Arial" w:hAnsi="Arial" w:cs="Arial"/>
          <w:szCs w:val="20"/>
        </w:rPr>
        <w:t xml:space="preserve">Mevrouw mr. M.A. Gregoor &amp; mr. </w:t>
      </w:r>
      <w:r w:rsidR="00612E6B" w:rsidRPr="001B6C9E">
        <w:rPr>
          <w:rFonts w:ascii="Arial" w:hAnsi="Arial" w:cs="Arial"/>
          <w:szCs w:val="20"/>
        </w:rPr>
        <w:t>A.N.L. de Hoogh</w:t>
      </w:r>
      <w:r w:rsidR="00612E6B" w:rsidRPr="001B6C9E">
        <w:rPr>
          <w:rFonts w:ascii="Arial" w:hAnsi="Arial" w:cs="Arial"/>
          <w:szCs w:val="20"/>
        </w:rPr>
        <w:br/>
      </w:r>
      <w:r w:rsidR="00612E6B" w:rsidRPr="001B6C9E">
        <w:rPr>
          <w:rFonts w:ascii="Arial" w:eastAsia="Times New Roman" w:hAnsi="Arial" w:cs="Arial"/>
          <w:szCs w:val="20"/>
          <w:lang w:eastAsia="nl-NL"/>
        </w:rPr>
        <w:t>KBS Advocaten N.V.</w:t>
      </w:r>
    </w:p>
    <w:p w:rsidR="00612E6B" w:rsidRPr="001B6C9E" w:rsidRDefault="00612E6B" w:rsidP="001D5A69">
      <w:pPr>
        <w:spacing w:line="240" w:lineRule="auto"/>
        <w:contextualSpacing/>
        <w:jc w:val="right"/>
        <w:rPr>
          <w:rFonts w:ascii="Arial" w:eastAsia="Times New Roman" w:hAnsi="Arial" w:cs="Arial"/>
          <w:szCs w:val="20"/>
          <w:lang w:eastAsia="nl-NL"/>
        </w:rPr>
      </w:pPr>
    </w:p>
    <w:p w:rsidR="00612E6B" w:rsidRPr="001B6C9E" w:rsidRDefault="00612E6B" w:rsidP="001D5A69">
      <w:pPr>
        <w:spacing w:line="240" w:lineRule="auto"/>
        <w:contextualSpacing/>
        <w:jc w:val="right"/>
        <w:rPr>
          <w:rFonts w:ascii="Arial" w:eastAsia="Times New Roman" w:hAnsi="Arial" w:cs="Arial"/>
          <w:szCs w:val="20"/>
          <w:lang w:eastAsia="nl-NL"/>
        </w:rPr>
      </w:pPr>
      <w:r w:rsidRPr="001B6C9E">
        <w:rPr>
          <w:rFonts w:ascii="Arial" w:eastAsia="Times New Roman" w:hAnsi="Arial" w:cs="Arial"/>
          <w:szCs w:val="20"/>
          <w:lang w:eastAsia="nl-NL"/>
        </w:rPr>
        <w:t>[Foto Gregoor en De Hoogh</w:t>
      </w:r>
    </w:p>
    <w:p w:rsidR="00612E6B" w:rsidRPr="001B6C9E" w:rsidRDefault="00612E6B" w:rsidP="001D5A69">
      <w:pPr>
        <w:spacing w:line="240" w:lineRule="auto"/>
        <w:contextualSpacing/>
        <w:rPr>
          <w:rFonts w:ascii="Arial" w:hAnsi="Arial" w:cs="Arial"/>
          <w:szCs w:val="20"/>
        </w:rPr>
      </w:pPr>
    </w:p>
    <w:p w:rsidR="00612E6B" w:rsidRPr="001B6C9E" w:rsidRDefault="00612E6B" w:rsidP="001D5A69">
      <w:pPr>
        <w:spacing w:after="0" w:line="240" w:lineRule="auto"/>
        <w:contextualSpacing/>
        <w:textAlignment w:val="baseline"/>
        <w:rPr>
          <w:rFonts w:ascii="Arial" w:eastAsia="Times New Roman" w:hAnsi="Arial" w:cs="Arial"/>
          <w:b/>
          <w:szCs w:val="20"/>
          <w:lang w:eastAsia="nl-NL"/>
        </w:rPr>
      </w:pPr>
      <w:r w:rsidRPr="001B6C9E">
        <w:rPr>
          <w:rFonts w:ascii="Arial" w:eastAsia="Times New Roman" w:hAnsi="Arial" w:cs="Arial"/>
          <w:b/>
          <w:szCs w:val="20"/>
          <w:lang w:eastAsia="nl-NL"/>
        </w:rPr>
        <w:t>In deze bijdrage bespreken wij de uitspraak van de Hoge Raad van 10 juli 2015</w:t>
      </w:r>
      <w:r w:rsidR="00786A7B" w:rsidRPr="001B6C9E">
        <w:rPr>
          <w:rFonts w:ascii="Arial" w:eastAsia="Times New Roman" w:hAnsi="Arial" w:cs="Arial"/>
          <w:b/>
          <w:szCs w:val="20"/>
          <w:lang w:eastAsia="nl-NL"/>
        </w:rPr>
        <w:t>,</w:t>
      </w:r>
      <w:r w:rsidRPr="001B6C9E">
        <w:rPr>
          <w:rFonts w:ascii="Arial" w:eastAsia="Times New Roman" w:hAnsi="Arial" w:cs="Arial"/>
          <w:b/>
          <w:szCs w:val="20"/>
          <w:lang w:eastAsia="nl-NL"/>
        </w:rPr>
        <w:t xml:space="preserve"> waarin de vraag centraal stond of en in hoeverre de billijkheidscorrectie van art. 6:101 BW doorwerkt in de regresverhouding tussen verzekeraars. Dit naar aanleiding van de verhaalsactie van zorgverzekeraar Menzis op Achmea (als WAM-verzekeraar).</w:t>
      </w:r>
    </w:p>
    <w:p w:rsidR="00612E6B" w:rsidRPr="001B6C9E" w:rsidRDefault="00612E6B" w:rsidP="001D5A69">
      <w:pPr>
        <w:spacing w:after="0" w:line="240" w:lineRule="auto"/>
        <w:contextualSpacing/>
        <w:textAlignment w:val="baseline"/>
        <w:rPr>
          <w:rFonts w:ascii="Arial" w:eastAsia="Times New Roman" w:hAnsi="Arial" w:cs="Arial"/>
          <w:szCs w:val="20"/>
          <w:lang w:eastAsia="nl-NL"/>
        </w:rPr>
      </w:pPr>
    </w:p>
    <w:p w:rsidR="00612E6B" w:rsidRPr="001B6C9E" w:rsidRDefault="00612E6B" w:rsidP="001D5A69">
      <w:pPr>
        <w:spacing w:after="0" w:line="240" w:lineRule="auto"/>
        <w:contextualSpacing/>
        <w:textAlignment w:val="baseline"/>
        <w:rPr>
          <w:rFonts w:ascii="Arial" w:eastAsia="Times New Roman" w:hAnsi="Arial" w:cs="Arial"/>
          <w:szCs w:val="20"/>
          <w:lang w:eastAsia="nl-NL"/>
        </w:rPr>
      </w:pPr>
      <w:r w:rsidRPr="001B6C9E">
        <w:rPr>
          <w:rFonts w:ascii="Arial" w:eastAsia="Times New Roman" w:hAnsi="Arial" w:cs="Arial"/>
          <w:szCs w:val="20"/>
          <w:lang w:eastAsia="nl-NL"/>
        </w:rPr>
        <w:t>[Kopje]Casus</w:t>
      </w:r>
    </w:p>
    <w:p w:rsidR="00612E6B" w:rsidRPr="001B6C9E" w:rsidRDefault="00612E6B" w:rsidP="001D5A69">
      <w:pPr>
        <w:spacing w:after="0" w:line="240" w:lineRule="auto"/>
        <w:contextualSpacing/>
        <w:textAlignment w:val="baseline"/>
        <w:rPr>
          <w:rFonts w:ascii="Arial" w:eastAsia="Times New Roman" w:hAnsi="Arial" w:cs="Arial"/>
          <w:szCs w:val="20"/>
          <w:lang w:eastAsia="nl-NL"/>
        </w:rPr>
      </w:pPr>
      <w:r w:rsidRPr="001B6C9E">
        <w:rPr>
          <w:rFonts w:ascii="Arial" w:eastAsia="Times New Roman" w:hAnsi="Arial" w:cs="Arial"/>
          <w:szCs w:val="20"/>
          <w:lang w:eastAsia="nl-NL"/>
        </w:rPr>
        <w:t>In 2006 vond een verkeersongeval plaats tussen een taxibusje en een bromfiets. Zonder verkeersnoodzaak remde de bestuurder van het taxibusje plotseling en abrupt af</w:t>
      </w:r>
      <w:r w:rsidR="00282750" w:rsidRPr="001B6C9E">
        <w:rPr>
          <w:rFonts w:ascii="Arial" w:eastAsia="Times New Roman" w:hAnsi="Arial" w:cs="Arial"/>
          <w:szCs w:val="20"/>
          <w:lang w:eastAsia="nl-NL"/>
        </w:rPr>
        <w:t>,</w:t>
      </w:r>
      <w:r w:rsidRPr="001B6C9E">
        <w:rPr>
          <w:rFonts w:ascii="Arial" w:eastAsia="Times New Roman" w:hAnsi="Arial" w:cs="Arial"/>
          <w:szCs w:val="20"/>
          <w:lang w:eastAsia="nl-NL"/>
        </w:rPr>
        <w:t xml:space="preserve"> waardoor de daarachter rijdende bromfietser tegen het taxibusje botste. De bromfietser liep ten gevolge van dit ongeval een hoge dwarslaesie op, waardoor hij voor de rest van zijn leven rolstoelafhankelijk zal zijn. Zijn zorgverzekeraar, Menzis, heeft alle daarmee gepaard gaande medische behandelingen vergoed. De bromfietser alsook Menzis hielden de WAM-verzekeraar van het taxibusje, Achmea, aansprakelijk voor alle geleden schade. Achmea betwistte de toedracht van het ongeval en stelde dat bovendien sprake was van eigen schuld van de bromfietser, ex art. 6:101 BW, omdat hij onder meer onvoldoende afstand had gehouden.</w:t>
      </w:r>
    </w:p>
    <w:p w:rsidR="00612E6B" w:rsidRPr="001B6C9E" w:rsidRDefault="00612E6B" w:rsidP="001D5A69">
      <w:pPr>
        <w:spacing w:after="0" w:line="240" w:lineRule="auto"/>
        <w:contextualSpacing/>
        <w:textAlignment w:val="baseline"/>
        <w:rPr>
          <w:rFonts w:ascii="Arial" w:eastAsia="Times New Roman" w:hAnsi="Arial" w:cs="Arial"/>
          <w:szCs w:val="20"/>
          <w:lang w:eastAsia="nl-NL"/>
        </w:rPr>
      </w:pPr>
    </w:p>
    <w:p w:rsidR="00612E6B" w:rsidRPr="001B6C9E" w:rsidRDefault="00612E6B" w:rsidP="001D5A69">
      <w:pPr>
        <w:spacing w:after="0" w:line="240" w:lineRule="auto"/>
        <w:contextualSpacing/>
        <w:textAlignment w:val="baseline"/>
        <w:rPr>
          <w:rFonts w:ascii="Arial" w:eastAsia="Times New Roman" w:hAnsi="Arial" w:cs="Arial"/>
          <w:szCs w:val="20"/>
          <w:lang w:eastAsia="nl-NL"/>
        </w:rPr>
      </w:pPr>
      <w:r w:rsidRPr="001B6C9E">
        <w:rPr>
          <w:rFonts w:ascii="Arial" w:eastAsia="Times New Roman" w:hAnsi="Arial" w:cs="Arial"/>
          <w:szCs w:val="20"/>
          <w:lang w:eastAsia="nl-NL"/>
        </w:rPr>
        <w:t>[Kopje]Procedure</w:t>
      </w:r>
    </w:p>
    <w:p w:rsidR="00612E6B" w:rsidRPr="001B6C9E" w:rsidRDefault="00612E6B" w:rsidP="001D5A69">
      <w:pPr>
        <w:spacing w:after="0" w:line="240" w:lineRule="auto"/>
        <w:contextualSpacing/>
        <w:textAlignment w:val="baseline"/>
        <w:rPr>
          <w:rFonts w:ascii="Arial" w:eastAsia="Times New Roman" w:hAnsi="Arial" w:cs="Arial"/>
          <w:i/>
          <w:szCs w:val="20"/>
          <w:lang w:eastAsia="nl-NL"/>
        </w:rPr>
      </w:pPr>
      <w:r w:rsidRPr="001B6C9E">
        <w:rPr>
          <w:rFonts w:ascii="Arial" w:eastAsia="Times New Roman" w:hAnsi="Arial" w:cs="Arial"/>
          <w:szCs w:val="20"/>
          <w:lang w:eastAsia="nl-NL"/>
        </w:rPr>
        <w:t>In eerste aanleg</w:t>
      </w:r>
      <w:r w:rsidRPr="001B6C9E">
        <w:rPr>
          <w:rStyle w:val="Eindnootmarkering"/>
          <w:rFonts w:ascii="Arial" w:eastAsia="Times New Roman" w:hAnsi="Arial" w:cs="Arial"/>
          <w:szCs w:val="20"/>
          <w:lang w:eastAsia="nl-NL"/>
        </w:rPr>
        <w:endnoteReference w:id="1"/>
      </w:r>
      <w:r w:rsidRPr="001B6C9E">
        <w:rPr>
          <w:rFonts w:ascii="Arial" w:eastAsia="Times New Roman" w:hAnsi="Arial" w:cs="Arial"/>
          <w:szCs w:val="20"/>
          <w:lang w:eastAsia="nl-NL"/>
        </w:rPr>
        <w:t xml:space="preserve"> werd Achmea aansprakelijk gehouden. Het beroep op eigen schuld van Achmea werd daarbij wel gehonoreerd. Dit leidde tot de volgende causaliteitsverdeling: de aanrijding was voor 75% veroorzaakt door de gedragingen van de bromfietser en voor 25% door die van de bestuurder van het taxibusje. De rechtbank had echter wel oog voor de ernst van het letsel ten gevolge waarvan de bromfietser zijn hele leven rolstoelafhankelijk is en </w:t>
      </w:r>
      <w:r w:rsidR="00786A7B" w:rsidRPr="001B6C9E">
        <w:rPr>
          <w:rFonts w:ascii="Arial" w:eastAsia="Times New Roman" w:hAnsi="Arial" w:cs="Arial"/>
          <w:szCs w:val="20"/>
          <w:lang w:eastAsia="nl-NL"/>
        </w:rPr>
        <w:t xml:space="preserve">voor </w:t>
      </w:r>
      <w:r w:rsidRPr="001B6C9E">
        <w:rPr>
          <w:rFonts w:ascii="Arial" w:eastAsia="Times New Roman" w:hAnsi="Arial" w:cs="Arial"/>
          <w:szCs w:val="20"/>
          <w:lang w:eastAsia="nl-NL"/>
        </w:rPr>
        <w:t>het feit de bromfietser gezien zijn jeugdige leeftijd zwaar is getroffen. Gelet hierop was de rechtbank van oordeel dat op grond van de billijkheid een correctie moest worden toegepast. Achmea werd gehouden om 50% (in plaats van 25%) van de schade van de bromfietser te vergoeden. Dat gold echter niet voor de regresvordering van Menzis. De rechtbank oordeelde over deze vordering: “</w:t>
      </w:r>
      <w:r w:rsidRPr="001B6C9E">
        <w:rPr>
          <w:rFonts w:ascii="Arial" w:hAnsi="Arial" w:cs="Arial"/>
          <w:i/>
          <w:szCs w:val="20"/>
        </w:rPr>
        <w:t>(…) dat de billijkheidscorrectie slechts tot een bijstelling van beperkte omvang van het resultaat van de causaliteitsafweging kan leiden. De hiervoor genoemde omstandigheden brengen de rechtbank niet tot die correctie.</w:t>
      </w:r>
      <w:r w:rsidR="00786A7B" w:rsidRPr="001B6C9E">
        <w:rPr>
          <w:rFonts w:ascii="Arial" w:hAnsi="Arial" w:cs="Arial"/>
          <w:i/>
          <w:szCs w:val="20"/>
        </w:rPr>
        <w:t xml:space="preserve"> Door </w:t>
      </w:r>
      <w:r w:rsidRPr="001B6C9E">
        <w:rPr>
          <w:rFonts w:ascii="Arial" w:hAnsi="Arial" w:cs="Arial"/>
          <w:i/>
          <w:szCs w:val="20"/>
        </w:rPr>
        <w:t>[eisers] zijn ook geen gronden aangevoerd waarom ook ten aanzien van deze vordering de billijkheid met zich brengt dat een correctie op de verdeling zoals die onder 4.7 is vastgesteld, dient te worden toegepast. Voor de vordering van Menzis geldt derhalve dat 75% van de schade voor rekening van Menzis dient te blijven en 25% vergoed dient te worden door [bestuurder taxibusje] (en dus Achmea).”</w:t>
      </w:r>
    </w:p>
    <w:p w:rsidR="00612E6B" w:rsidRPr="001B6C9E" w:rsidRDefault="00612E6B" w:rsidP="001D5A69">
      <w:pPr>
        <w:spacing w:after="0" w:line="240" w:lineRule="auto"/>
        <w:contextualSpacing/>
        <w:textAlignment w:val="baseline"/>
        <w:rPr>
          <w:rFonts w:ascii="Arial" w:eastAsia="Times New Roman" w:hAnsi="Arial" w:cs="Arial"/>
          <w:szCs w:val="20"/>
          <w:lang w:eastAsia="nl-NL"/>
        </w:rPr>
      </w:pPr>
    </w:p>
    <w:p w:rsidR="00612E6B" w:rsidRPr="001B6C9E" w:rsidRDefault="00612E6B" w:rsidP="001D5A69">
      <w:pPr>
        <w:spacing w:after="0" w:line="240" w:lineRule="auto"/>
        <w:contextualSpacing/>
        <w:textAlignment w:val="baseline"/>
        <w:rPr>
          <w:rFonts w:ascii="Arial" w:eastAsia="Times New Roman" w:hAnsi="Arial" w:cs="Arial"/>
          <w:i/>
          <w:szCs w:val="20"/>
          <w:lang w:eastAsia="nl-NL"/>
        </w:rPr>
      </w:pPr>
      <w:r w:rsidRPr="001B6C9E">
        <w:rPr>
          <w:rFonts w:ascii="Arial" w:eastAsia="Times New Roman" w:hAnsi="Arial" w:cs="Arial"/>
          <w:szCs w:val="20"/>
          <w:lang w:eastAsia="nl-NL"/>
        </w:rPr>
        <w:t>Tegen de uitspraak ging (alleen) Menzis in hoger beroep. In navolging van de rechtbank oordeelde het hof</w:t>
      </w:r>
      <w:r w:rsidRPr="001B6C9E">
        <w:rPr>
          <w:rStyle w:val="Eindnootmarkering"/>
          <w:rFonts w:ascii="Arial" w:eastAsia="Times New Roman" w:hAnsi="Arial" w:cs="Arial"/>
          <w:szCs w:val="20"/>
          <w:lang w:eastAsia="nl-NL"/>
        </w:rPr>
        <w:endnoteReference w:id="2"/>
      </w:r>
      <w:r w:rsidRPr="001B6C9E">
        <w:rPr>
          <w:rFonts w:ascii="Arial" w:eastAsia="Times New Roman" w:hAnsi="Arial" w:cs="Arial"/>
          <w:szCs w:val="20"/>
          <w:lang w:eastAsia="nl-NL"/>
        </w:rPr>
        <w:t xml:space="preserve"> dat de bestuurder van het taxibusje onrechtmatig had gehandeld door zonder verkeersnoodzaak plots te stoppen. Het hof kwam in het kader van de eigen schuld evenwel tot een andere causaliteitsverdeling, te weten dat de bromfietser voor 60% aan het ongeval </w:t>
      </w:r>
      <w:r w:rsidR="00786A7B" w:rsidRPr="001B6C9E">
        <w:rPr>
          <w:rFonts w:ascii="Arial" w:eastAsia="Times New Roman" w:hAnsi="Arial" w:cs="Arial"/>
          <w:szCs w:val="20"/>
          <w:lang w:eastAsia="nl-NL"/>
        </w:rPr>
        <w:t xml:space="preserve">had </w:t>
      </w:r>
      <w:r w:rsidRPr="001B6C9E">
        <w:rPr>
          <w:rFonts w:ascii="Arial" w:eastAsia="Times New Roman" w:hAnsi="Arial" w:cs="Arial"/>
          <w:szCs w:val="20"/>
          <w:lang w:eastAsia="nl-NL"/>
        </w:rPr>
        <w:t>bijgedragen en de bestuurder van het taxibusje voor 40%. Vervolgens ging het hof in op de vraag of de regresvordering van Menzis ook op grond van de billijkheid kon worden gecorrigeerd. Het hof oordeelde onder meer: “</w:t>
      </w:r>
      <w:r w:rsidRPr="001B6C9E">
        <w:rPr>
          <w:rFonts w:ascii="Arial" w:eastAsia="Times New Roman" w:hAnsi="Arial" w:cs="Arial"/>
          <w:i/>
          <w:szCs w:val="20"/>
          <w:lang w:eastAsia="nl-NL"/>
        </w:rPr>
        <w:t>Op grond van het arrest van de Hoge Raad van 5 december 1997, NJ 1998/400, waarin de Hoge Raad heeft geoordeeld dat de billijkheidscorrectie ook bij een regresvordering mogelijk is en niet is beperkt tot bijzondere omstandigheden, is er naar het oordeel van het hof gelet op de omstandigheden aan de kant van getuige 1 hier geen aanleiding om de billijkheidscorrectie ten aanzien van Menzis niet toe te passen. Anders dan Achmea stelt, kan uit HR 24 september 2004, NJ 2005/466 niet worden afgeleid dat een onderscheid moet worden gemaakt tussen het slachtoffer zelf en zijn ziektekostenverzekeraar. In die zaak was in cassatie namelijk niet geklaagd over het niet toepassen door het hof van de billijkheidscorrectie ten opzichte van de ziektekostenverzekeraar. De Hoge Raad heeft zich daarover in dat arrest dan ook niet uitgelaten.</w:t>
      </w:r>
      <w:r w:rsidR="00516D9F" w:rsidRPr="001B6C9E">
        <w:rPr>
          <w:rFonts w:ascii="Arial" w:eastAsia="Times New Roman" w:hAnsi="Arial" w:cs="Arial"/>
          <w:i/>
          <w:szCs w:val="20"/>
          <w:lang w:eastAsia="nl-NL"/>
        </w:rPr>
        <w:br/>
      </w:r>
      <w:r w:rsidRPr="001B6C9E">
        <w:rPr>
          <w:rFonts w:ascii="Arial" w:eastAsia="Times New Roman" w:hAnsi="Arial" w:cs="Arial"/>
          <w:i/>
          <w:szCs w:val="20"/>
          <w:lang w:eastAsia="nl-NL"/>
        </w:rPr>
        <w:t xml:space="preserve">Menzis heeft derhalve terecht een beroep gedaan op de subjectieve omstandigheden aan de zijde van getuige 1, te weten de ernst van het letsel ten gevolge waarvan hij zijn hele leven rolstoelafhankelijk zal zijn, waardoor getuige 1 gelet op zijn jeugdige leeftijd zwaar is getroffen. Het hof past ten aanzien van Menzis dezelfde correctie toe als de rechtbank ten aanzien van getuige 1 heeft </w:t>
      </w:r>
      <w:r w:rsidRPr="001B6C9E">
        <w:rPr>
          <w:rFonts w:ascii="Arial" w:eastAsia="Times New Roman" w:hAnsi="Arial" w:cs="Arial"/>
          <w:i/>
          <w:szCs w:val="20"/>
          <w:lang w:eastAsia="nl-NL"/>
        </w:rPr>
        <w:lastRenderedPageBreak/>
        <w:t xml:space="preserve">toegepast, dus 25%. Dit betekent dat 65% (40% + 25%) van de schade voor rekening van de chauffeur van het taxibusje, dus Achmea, komt en 35% ten laste van </w:t>
      </w:r>
      <w:proofErr w:type="spellStart"/>
      <w:r w:rsidRPr="001B6C9E">
        <w:rPr>
          <w:rFonts w:ascii="Arial" w:eastAsia="Times New Roman" w:hAnsi="Arial" w:cs="Arial"/>
          <w:i/>
          <w:szCs w:val="20"/>
          <w:lang w:eastAsia="nl-NL"/>
        </w:rPr>
        <w:t>Menzis</w:t>
      </w:r>
      <w:proofErr w:type="spellEnd"/>
      <w:r w:rsidRPr="001B6C9E">
        <w:rPr>
          <w:rFonts w:ascii="Arial" w:eastAsia="Times New Roman" w:hAnsi="Arial" w:cs="Arial"/>
          <w:i/>
          <w:szCs w:val="20"/>
          <w:lang w:eastAsia="nl-NL"/>
        </w:rPr>
        <w:t>”</w:t>
      </w:r>
      <w:r w:rsidR="00F71EBC">
        <w:rPr>
          <w:rFonts w:ascii="Arial" w:eastAsia="Times New Roman" w:hAnsi="Arial" w:cs="Arial"/>
          <w:i/>
          <w:szCs w:val="20"/>
          <w:lang w:eastAsia="nl-NL"/>
        </w:rPr>
        <w:t>.</w:t>
      </w:r>
    </w:p>
    <w:p w:rsidR="00612E6B" w:rsidRPr="001B6C9E" w:rsidRDefault="00612E6B" w:rsidP="001D5A69">
      <w:pPr>
        <w:spacing w:after="0" w:line="240" w:lineRule="auto"/>
        <w:contextualSpacing/>
        <w:textAlignment w:val="baseline"/>
        <w:rPr>
          <w:rFonts w:ascii="Arial" w:eastAsia="Times New Roman" w:hAnsi="Arial" w:cs="Arial"/>
          <w:i/>
          <w:szCs w:val="20"/>
          <w:lang w:eastAsia="nl-NL"/>
        </w:rPr>
      </w:pPr>
    </w:p>
    <w:p w:rsidR="00612E6B" w:rsidRPr="001B6C9E" w:rsidRDefault="00612E6B" w:rsidP="001D5A69">
      <w:pPr>
        <w:spacing w:line="240" w:lineRule="auto"/>
        <w:contextualSpacing/>
        <w:rPr>
          <w:rFonts w:ascii="Arial" w:hAnsi="Arial" w:cs="Arial"/>
          <w:szCs w:val="20"/>
        </w:rPr>
      </w:pPr>
      <w:r w:rsidRPr="001B6C9E">
        <w:rPr>
          <w:rFonts w:ascii="Arial" w:eastAsia="Times New Roman" w:hAnsi="Arial" w:cs="Arial"/>
          <w:szCs w:val="20"/>
          <w:lang w:eastAsia="nl-NL"/>
        </w:rPr>
        <w:t xml:space="preserve">Tegen deze toepassing van de billijkheidscorrectie stelde Achmea cassatieberoep in. Naar de opvatting van Achmea ging het hof bij de toepassing van de billijkheidscorrectie ten onrechte uit van de subjectieve omstandigheden aan de zijde van de bromfietser, te weten de ernst van het letsel en zijn jeugdige leeftijd. Achmea stelde kortweg dat voor </w:t>
      </w:r>
      <w:r w:rsidR="00786A7B" w:rsidRPr="001B6C9E">
        <w:rPr>
          <w:rFonts w:ascii="Arial" w:eastAsia="Times New Roman" w:hAnsi="Arial" w:cs="Arial"/>
          <w:szCs w:val="20"/>
          <w:lang w:eastAsia="nl-NL"/>
        </w:rPr>
        <w:t>‘</w:t>
      </w:r>
      <w:r w:rsidRPr="001B6C9E">
        <w:rPr>
          <w:rFonts w:ascii="Arial" w:eastAsia="Times New Roman" w:hAnsi="Arial" w:cs="Arial"/>
          <w:szCs w:val="20"/>
          <w:lang w:eastAsia="nl-NL"/>
        </w:rPr>
        <w:t>subrogatie in zieligheid</w:t>
      </w:r>
      <w:r w:rsidR="00786A7B" w:rsidRPr="001B6C9E">
        <w:rPr>
          <w:rFonts w:ascii="Arial" w:eastAsia="Times New Roman" w:hAnsi="Arial" w:cs="Arial"/>
          <w:szCs w:val="20"/>
          <w:lang w:eastAsia="nl-NL"/>
        </w:rPr>
        <w:t>’</w:t>
      </w:r>
      <w:r w:rsidRPr="001B6C9E">
        <w:rPr>
          <w:rFonts w:ascii="Arial" w:eastAsia="Times New Roman" w:hAnsi="Arial" w:cs="Arial"/>
          <w:szCs w:val="20"/>
          <w:lang w:eastAsia="nl-NL"/>
        </w:rPr>
        <w:t xml:space="preserve"> in regreszaken tussen verzekeraars geen goede grond bestaat. Het hof had naar de opvatting van Achmea een beroep op genoemde subjectieve omstandigheden in het kader van </w:t>
      </w:r>
      <w:r w:rsidR="00786A7B" w:rsidRPr="001B6C9E">
        <w:rPr>
          <w:rFonts w:ascii="Arial" w:eastAsia="Times New Roman" w:hAnsi="Arial" w:cs="Arial"/>
          <w:szCs w:val="20"/>
          <w:lang w:eastAsia="nl-NL"/>
        </w:rPr>
        <w:t xml:space="preserve">de </w:t>
      </w:r>
      <w:r w:rsidRPr="001B6C9E">
        <w:rPr>
          <w:rFonts w:ascii="Arial" w:eastAsia="Times New Roman" w:hAnsi="Arial" w:cs="Arial"/>
          <w:szCs w:val="20"/>
          <w:lang w:eastAsia="nl-NL"/>
        </w:rPr>
        <w:t>billijkheidscorrectie dienen te ontzeggen.</w:t>
      </w:r>
      <w:r w:rsidR="00516D9F" w:rsidRPr="001B6C9E">
        <w:rPr>
          <w:rFonts w:ascii="Arial" w:eastAsia="Times New Roman" w:hAnsi="Arial" w:cs="Arial"/>
          <w:szCs w:val="20"/>
          <w:lang w:eastAsia="nl-NL"/>
        </w:rPr>
        <w:br/>
      </w:r>
      <w:r w:rsidR="00282750" w:rsidRPr="001B6C9E">
        <w:rPr>
          <w:rFonts w:ascii="Arial" w:hAnsi="Arial" w:cs="Arial"/>
          <w:szCs w:val="20"/>
        </w:rPr>
        <w:t xml:space="preserve">Deze </w:t>
      </w:r>
      <w:r w:rsidRPr="001B6C9E">
        <w:rPr>
          <w:rFonts w:ascii="Arial" w:hAnsi="Arial" w:cs="Arial"/>
          <w:szCs w:val="20"/>
        </w:rPr>
        <w:t>klachten van Achmea faalden. De Hoge Raad overwoog dat in art. 7:926 lid 1 BW is bepaald dat vorderingen tot vergoeding van schade van de verzekerde overgaan op de verzekeraar voor zover de</w:t>
      </w:r>
      <w:r w:rsidR="00F71EBC">
        <w:rPr>
          <w:rFonts w:ascii="Arial" w:hAnsi="Arial" w:cs="Arial"/>
          <w:szCs w:val="20"/>
        </w:rPr>
        <w:t>ze laatste die schade vergoedt.</w:t>
      </w:r>
      <w:r w:rsidR="00F71EBC">
        <w:rPr>
          <w:rFonts w:ascii="Arial" w:hAnsi="Arial" w:cs="Arial"/>
          <w:szCs w:val="20"/>
        </w:rPr>
        <w:br/>
      </w:r>
      <w:r w:rsidRPr="001B6C9E">
        <w:rPr>
          <w:rFonts w:ascii="Arial" w:hAnsi="Arial" w:cs="Arial"/>
          <w:szCs w:val="20"/>
        </w:rPr>
        <w:t xml:space="preserve">Vervolgens oordeelde de Hoge Raad: </w:t>
      </w:r>
      <w:r w:rsidRPr="001B6C9E">
        <w:rPr>
          <w:rFonts w:ascii="Arial" w:hAnsi="Arial" w:cs="Arial"/>
          <w:i/>
          <w:szCs w:val="20"/>
        </w:rPr>
        <w:t>“Uitgang</w:t>
      </w:r>
      <w:r w:rsidR="00786A7B" w:rsidRPr="001B6C9E">
        <w:rPr>
          <w:rFonts w:ascii="Arial" w:hAnsi="Arial" w:cs="Arial"/>
          <w:i/>
          <w:szCs w:val="20"/>
        </w:rPr>
        <w:t>s</w:t>
      </w:r>
      <w:r w:rsidRPr="001B6C9E">
        <w:rPr>
          <w:rFonts w:ascii="Arial" w:hAnsi="Arial" w:cs="Arial"/>
          <w:i/>
          <w:szCs w:val="20"/>
        </w:rPr>
        <w:t>punt moet dan zijn dat de billijkheidscorrectie van art. 6:101 lid 1 BW doorwerkt in de (regres)verhouding tussen verzekeraars, op gelijke wijze als deze zou gelden in de verhoudingen tussen de verzekerden.”</w:t>
      </w:r>
      <w:r w:rsidRPr="001B6C9E">
        <w:rPr>
          <w:rFonts w:ascii="Arial" w:hAnsi="Arial" w:cs="Arial"/>
          <w:szCs w:val="20"/>
        </w:rPr>
        <w:t xml:space="preserve"> Verwezen werd naar het arrest Terminus/ZAO</w:t>
      </w:r>
      <w:r w:rsidRPr="001B6C9E">
        <w:rPr>
          <w:rStyle w:val="Eindnootmarkering"/>
          <w:rFonts w:ascii="Arial" w:hAnsi="Arial" w:cs="Arial"/>
          <w:szCs w:val="20"/>
        </w:rPr>
        <w:endnoteReference w:id="3"/>
      </w:r>
      <w:r w:rsidRPr="001B6C9E">
        <w:rPr>
          <w:rFonts w:ascii="Arial" w:hAnsi="Arial" w:cs="Arial"/>
          <w:szCs w:val="20"/>
        </w:rPr>
        <w:t>, waarin de Hoge Raad reeds had geoordeeld dat er voor regresvorderingen onvoldoende reden was om aan de toepassing van de maatstaven van art. 6:101 BW bijzondere voorwaarden te stellen en dat bij de billijkheidscorrectie rekening dient te worden gehouden met alle relevante omstandigheden.</w:t>
      </w:r>
      <w:r w:rsidR="00516D9F" w:rsidRPr="001B6C9E">
        <w:rPr>
          <w:rFonts w:ascii="Arial" w:hAnsi="Arial" w:cs="Arial"/>
          <w:szCs w:val="20"/>
        </w:rPr>
        <w:br/>
      </w:r>
      <w:r w:rsidRPr="001B6C9E">
        <w:rPr>
          <w:rFonts w:ascii="Arial" w:hAnsi="Arial" w:cs="Arial"/>
          <w:szCs w:val="20"/>
        </w:rPr>
        <w:t xml:space="preserve">Voorts heeft de Hoge Raad in het arrest van 10 juli 2015 over de vraag of de billijkheidscorrectie ook doorwerkt bij subjectieve omstandigheden aan de zijde van de verzekerde uitdrukkelijk geoordeeld: </w:t>
      </w:r>
      <w:r w:rsidRPr="001B6C9E">
        <w:rPr>
          <w:rFonts w:ascii="Arial" w:hAnsi="Arial" w:cs="Arial"/>
          <w:i/>
          <w:szCs w:val="20"/>
        </w:rPr>
        <w:t>“Dat geldt ook indien de billijkheidscorrectie verband houdt met subjectieve omstandigheden aan de zijde van de verzekerde.”</w:t>
      </w:r>
      <w:r w:rsidR="00516D9F" w:rsidRPr="001B6C9E">
        <w:rPr>
          <w:rFonts w:ascii="Arial" w:hAnsi="Arial" w:cs="Arial"/>
          <w:i/>
          <w:szCs w:val="20"/>
        </w:rPr>
        <w:br/>
      </w:r>
      <w:r w:rsidRPr="001B6C9E">
        <w:rPr>
          <w:rFonts w:ascii="Arial" w:hAnsi="Arial" w:cs="Arial"/>
          <w:szCs w:val="20"/>
        </w:rPr>
        <w:t xml:space="preserve">Ten slotte overwoog de Hoge Raad: </w:t>
      </w:r>
      <w:r w:rsidRPr="001B6C9E">
        <w:rPr>
          <w:rFonts w:ascii="Arial" w:hAnsi="Arial" w:cs="Arial"/>
          <w:i/>
          <w:szCs w:val="20"/>
        </w:rPr>
        <w:t>“Dat de regrespraktijk tussen verzekeraars gebaseerd zou zijn op objectieve modellen en geen rekening zou houden met genoemde subjectieve omstandigheden, zoals het middels onder 1.12 aanvoert, kan, zo al juist, aan het hiervoor overwogene niet afdoen.”</w:t>
      </w:r>
      <w:r w:rsidR="00516D9F" w:rsidRPr="001B6C9E">
        <w:rPr>
          <w:rFonts w:ascii="Arial" w:hAnsi="Arial" w:cs="Arial"/>
          <w:i/>
          <w:szCs w:val="20"/>
        </w:rPr>
        <w:br/>
      </w:r>
      <w:r w:rsidRPr="001B6C9E">
        <w:rPr>
          <w:rFonts w:ascii="Arial" w:hAnsi="Arial" w:cs="Arial"/>
          <w:szCs w:val="20"/>
        </w:rPr>
        <w:t>Met dit arrest volgt de Hoge Raad de conclusie van A-G Spier slechts gedeeltelijk. Spier was het namelijk met Achmea eens dat er geen grond bestaat voor subrogatie in “echte” zieligheid. Voor het overige zou Spier de gesubrogeerde verzekeraar wel willen laten profiteren van de billijkheidscorrectie. Spier doelt met “</w:t>
      </w:r>
      <w:r w:rsidRPr="001B6C9E">
        <w:rPr>
          <w:rFonts w:ascii="Arial" w:hAnsi="Arial" w:cs="Arial"/>
          <w:i/>
          <w:szCs w:val="20"/>
        </w:rPr>
        <w:t>echte</w:t>
      </w:r>
      <w:r w:rsidRPr="001B6C9E">
        <w:rPr>
          <w:rFonts w:ascii="Arial" w:hAnsi="Arial" w:cs="Arial"/>
          <w:szCs w:val="20"/>
        </w:rPr>
        <w:t xml:space="preserve">” zieligheid op </w:t>
      </w:r>
      <w:r w:rsidRPr="001B6C9E">
        <w:rPr>
          <w:rFonts w:ascii="Arial" w:hAnsi="Arial" w:cs="Arial"/>
          <w:i/>
          <w:szCs w:val="20"/>
        </w:rPr>
        <w:t>“subjectieve factoren die zich niet mede vertalen in objectieve”.</w:t>
      </w:r>
      <w:r w:rsidR="00F71EBC">
        <w:rPr>
          <w:rFonts w:ascii="Arial" w:hAnsi="Arial" w:cs="Arial"/>
          <w:szCs w:val="20"/>
        </w:rPr>
        <w:br/>
      </w:r>
      <w:r w:rsidRPr="001B6C9E">
        <w:rPr>
          <w:rFonts w:ascii="Arial" w:hAnsi="Arial" w:cs="Arial"/>
          <w:szCs w:val="20"/>
        </w:rPr>
        <w:t>De Hoge Raad volgt Spier hierin</w:t>
      </w:r>
      <w:r w:rsidR="00ED53FA" w:rsidRPr="001B6C9E">
        <w:rPr>
          <w:rFonts w:ascii="Arial" w:hAnsi="Arial" w:cs="Arial"/>
          <w:szCs w:val="20"/>
        </w:rPr>
        <w:t xml:space="preserve"> – </w:t>
      </w:r>
      <w:r w:rsidRPr="001B6C9E">
        <w:rPr>
          <w:rFonts w:ascii="Arial" w:hAnsi="Arial" w:cs="Arial"/>
          <w:szCs w:val="20"/>
        </w:rPr>
        <w:t>met het oordeel dat de billijkheidscorrectie ook in de (regres)verhouding tussen verzekeraars doorwerkt indien de billijkheidscorrectie verband houdt met subjectieve omstandigheden aan de zijde van de verzekerde</w:t>
      </w:r>
      <w:r w:rsidR="00ED53FA" w:rsidRPr="001B6C9E">
        <w:rPr>
          <w:rFonts w:ascii="Arial" w:hAnsi="Arial" w:cs="Arial"/>
          <w:szCs w:val="20"/>
        </w:rPr>
        <w:t xml:space="preserve"> – </w:t>
      </w:r>
      <w:r w:rsidRPr="001B6C9E">
        <w:rPr>
          <w:rFonts w:ascii="Arial" w:hAnsi="Arial" w:cs="Arial"/>
          <w:szCs w:val="20"/>
        </w:rPr>
        <w:t>echter niet.</w:t>
      </w:r>
    </w:p>
    <w:p w:rsidR="00612E6B" w:rsidRPr="001B6C9E" w:rsidRDefault="00612E6B" w:rsidP="001D5A69">
      <w:pPr>
        <w:spacing w:line="240" w:lineRule="auto"/>
        <w:contextualSpacing/>
        <w:rPr>
          <w:rFonts w:ascii="Arial" w:hAnsi="Arial" w:cs="Arial"/>
          <w:szCs w:val="20"/>
        </w:rPr>
      </w:pPr>
    </w:p>
    <w:p w:rsidR="00612E6B" w:rsidRPr="001B6C9E" w:rsidRDefault="00612E6B" w:rsidP="001D5A69">
      <w:pPr>
        <w:spacing w:line="240" w:lineRule="auto"/>
        <w:contextualSpacing/>
        <w:rPr>
          <w:rFonts w:ascii="Arial" w:hAnsi="Arial" w:cs="Arial"/>
          <w:szCs w:val="20"/>
        </w:rPr>
      </w:pPr>
      <w:r w:rsidRPr="001B6C9E">
        <w:rPr>
          <w:rFonts w:ascii="Arial" w:hAnsi="Arial" w:cs="Arial"/>
          <w:szCs w:val="20"/>
        </w:rPr>
        <w:t>[Kopje]Betekenis van dit arrest</w:t>
      </w:r>
    </w:p>
    <w:p w:rsidR="00612E6B" w:rsidRPr="001B6C9E" w:rsidRDefault="00612E6B" w:rsidP="001D5A69">
      <w:pPr>
        <w:spacing w:line="240" w:lineRule="auto"/>
        <w:contextualSpacing/>
        <w:rPr>
          <w:rFonts w:ascii="Arial" w:hAnsi="Arial" w:cs="Arial"/>
          <w:szCs w:val="20"/>
        </w:rPr>
      </w:pPr>
      <w:r w:rsidRPr="001B6C9E">
        <w:rPr>
          <w:rFonts w:ascii="Arial" w:hAnsi="Arial" w:cs="Arial"/>
          <w:szCs w:val="20"/>
        </w:rPr>
        <w:t>De Hoge Raad blijft bij zijn eerdere oordeel dat de billijkheidscorrectie doorwerkt in de regresverhouding tussen verzekeraars. Tot zover eigenlijk niets nieuws. De Hoge Raad heeft in het arrest van 10 juli 2015 echter wel zijn visie over de concrete toepassing daarvan verduidelijkt. Daarmee wordt in een behoefte voorzien, nu de eerder gewezen arresten op dit punt tot onduidelijkheid leidden in de rechtspraktijk en lagere rechtspraak, waarover het volgende.</w:t>
      </w:r>
      <w:r w:rsidR="00F71EBC">
        <w:rPr>
          <w:rFonts w:ascii="Arial" w:hAnsi="Arial" w:cs="Arial"/>
          <w:szCs w:val="20"/>
        </w:rPr>
        <w:br/>
      </w:r>
      <w:r w:rsidRPr="001B6C9E">
        <w:rPr>
          <w:rFonts w:ascii="Arial" w:hAnsi="Arial" w:cs="Arial"/>
          <w:szCs w:val="20"/>
        </w:rPr>
        <w:t xml:space="preserve">In zijn arresten van 2 juni 1995 (ECLI:NL:1995:ZC1745, r.o. 3.5 en ECLI:NL:1995:ZC1740, r.o. 3.7) oordeelde de Hoge Raad over een vordering van een </w:t>
      </w:r>
      <w:r w:rsidR="00786A7B" w:rsidRPr="001B6C9E">
        <w:rPr>
          <w:rFonts w:ascii="Arial" w:hAnsi="Arial" w:cs="Arial"/>
          <w:szCs w:val="20"/>
        </w:rPr>
        <w:t>regresnemend</w:t>
      </w:r>
      <w:r w:rsidRPr="001B6C9E">
        <w:rPr>
          <w:rFonts w:ascii="Arial" w:hAnsi="Arial" w:cs="Arial"/>
          <w:szCs w:val="20"/>
        </w:rPr>
        <w:t xml:space="preserve">e verzekeraar: </w:t>
      </w:r>
      <w:r w:rsidRPr="001B6C9E">
        <w:rPr>
          <w:rFonts w:ascii="Arial" w:hAnsi="Arial" w:cs="Arial"/>
          <w:i/>
          <w:szCs w:val="20"/>
        </w:rPr>
        <w:t>“Beoordeling van de mate van verwijtbaarheid komt eerst aan de orde bij toepassing van de billijkheidscorrectie. Niet uitgesloten is dat ook in gevallen als het onderhavige voor zodanige toepassing grond bestaat.”</w:t>
      </w:r>
      <w:r w:rsidR="00F71EBC">
        <w:rPr>
          <w:rFonts w:ascii="Arial" w:hAnsi="Arial" w:cs="Arial"/>
          <w:i/>
          <w:szCs w:val="20"/>
        </w:rPr>
        <w:br/>
      </w:r>
      <w:bookmarkStart w:id="0" w:name="_GoBack"/>
      <w:bookmarkEnd w:id="0"/>
      <w:r w:rsidRPr="001B6C9E">
        <w:rPr>
          <w:rFonts w:ascii="Arial" w:hAnsi="Arial" w:cs="Arial"/>
          <w:szCs w:val="20"/>
        </w:rPr>
        <w:t>Later volgde het arrest van 5 december 1997 (ECLI:NL:HR:1997:ZC2517): “</w:t>
      </w:r>
      <w:r w:rsidRPr="001B6C9E">
        <w:rPr>
          <w:rFonts w:ascii="Arial" w:hAnsi="Arial" w:cs="Arial"/>
          <w:i/>
          <w:szCs w:val="20"/>
        </w:rPr>
        <w:t>Zoals in de arresten van 2 juni 1995 is overwogen, leidt dit ertoe dat na de door dit artikel primair geëiste causaliteitsafweging ook de daarin opgenomen billijkheidscorrectie nog aan de orde kan komen en dat zulks</w:t>
      </w:r>
      <w:r w:rsidR="00ED53FA" w:rsidRPr="001B6C9E">
        <w:rPr>
          <w:rFonts w:ascii="Arial" w:hAnsi="Arial" w:cs="Arial"/>
          <w:i/>
          <w:szCs w:val="20"/>
        </w:rPr>
        <w:t xml:space="preserve"> – </w:t>
      </w:r>
      <w:r w:rsidRPr="001B6C9E">
        <w:rPr>
          <w:rFonts w:ascii="Arial" w:hAnsi="Arial" w:cs="Arial"/>
          <w:i/>
          <w:szCs w:val="20"/>
        </w:rPr>
        <w:t>anders dan het middel voorstaat</w:t>
      </w:r>
      <w:r w:rsidR="00ED53FA" w:rsidRPr="001B6C9E">
        <w:rPr>
          <w:rFonts w:ascii="Arial" w:hAnsi="Arial" w:cs="Arial"/>
          <w:i/>
          <w:szCs w:val="20"/>
        </w:rPr>
        <w:t xml:space="preserve"> – </w:t>
      </w:r>
      <w:r w:rsidRPr="001B6C9E">
        <w:rPr>
          <w:rFonts w:ascii="Arial" w:hAnsi="Arial" w:cs="Arial"/>
          <w:i/>
          <w:szCs w:val="20"/>
        </w:rPr>
        <w:t>niet beperkt is tot ‘uitzonderlijke omstandigheden’. Rekening moet hier derhalve worden gehouden met alle relevante omstandigheden zowel aan de zijde van de bestuurder als aan de zijde van het verkeersslachtoffer, waaronder zowel de ernst van ieders fout als de mate waarin zijn gedragingen hem kunnen worden verweten.”</w:t>
      </w:r>
    </w:p>
    <w:p w:rsidR="00612E6B" w:rsidRPr="001B6C9E" w:rsidRDefault="00612E6B" w:rsidP="001D5A69">
      <w:pPr>
        <w:spacing w:line="240" w:lineRule="auto"/>
        <w:contextualSpacing/>
        <w:rPr>
          <w:rFonts w:ascii="Arial" w:hAnsi="Arial" w:cs="Arial"/>
          <w:szCs w:val="20"/>
        </w:rPr>
      </w:pPr>
      <w:r w:rsidRPr="001B6C9E">
        <w:rPr>
          <w:rFonts w:ascii="Arial" w:hAnsi="Arial" w:cs="Arial"/>
          <w:szCs w:val="20"/>
        </w:rPr>
        <w:t>Uit deze twee arresten volgde genoegzaam dat de billijkheidscorrectie doorwerkt in de regresverhouding. Voorts overwoog de Hoge Raad in het arrest van 5 december 1997:</w:t>
      </w:r>
      <w:r w:rsidR="00786A7B" w:rsidRPr="001B6C9E">
        <w:rPr>
          <w:rFonts w:ascii="Arial" w:hAnsi="Arial" w:cs="Arial"/>
          <w:szCs w:val="20"/>
        </w:rPr>
        <w:t xml:space="preserve"> </w:t>
      </w:r>
      <w:r w:rsidRPr="001B6C9E">
        <w:rPr>
          <w:rFonts w:ascii="Arial" w:hAnsi="Arial" w:cs="Arial"/>
          <w:i/>
          <w:szCs w:val="20"/>
        </w:rPr>
        <w:t>“Het gewicht dat in dit verband aan dergelijke omstandigheden aan de zijde van het slachtoffer toekomt, is evenwel van geheel andere orde dan het zeer zware, onderscheidenlijk zware gewicht dat voor vorderingen van het slachtoffer zelf tot de 100%-regel, onderscheidenlijk de 50%-regel heeft geleid. De billijkheidscorrectie zal in de onderhavige gevallen doorgaans slechts tot een bijstelling van beperkte omvang van het resultaat van de caus</w:t>
      </w:r>
      <w:r w:rsidR="00516D9F" w:rsidRPr="001B6C9E">
        <w:rPr>
          <w:rFonts w:ascii="Arial" w:hAnsi="Arial" w:cs="Arial"/>
          <w:i/>
          <w:szCs w:val="20"/>
        </w:rPr>
        <w:t>aliteitsafweging kunnen leiden.”</w:t>
      </w:r>
    </w:p>
    <w:p w:rsidR="00612E6B" w:rsidRPr="001B6C9E" w:rsidRDefault="00612E6B" w:rsidP="001D5A69">
      <w:pPr>
        <w:spacing w:line="240" w:lineRule="auto"/>
        <w:contextualSpacing/>
        <w:rPr>
          <w:rFonts w:ascii="Arial" w:hAnsi="Arial" w:cs="Arial"/>
          <w:szCs w:val="20"/>
        </w:rPr>
      </w:pPr>
      <w:r w:rsidRPr="001B6C9E">
        <w:rPr>
          <w:rFonts w:ascii="Arial" w:hAnsi="Arial" w:cs="Arial"/>
          <w:szCs w:val="20"/>
        </w:rPr>
        <w:t>Naar onze opvatting heeft met name deze laatste overweging in de praktijk tot onduidelijkheid geleid over de vraag of de billijkheidscorrectie in de regresverhouding terughoudend moest worden toegepast. Zo zag de Rechtbank Alkmaar</w:t>
      </w:r>
      <w:r w:rsidRPr="001B6C9E">
        <w:rPr>
          <w:rStyle w:val="Eindnootmarkering"/>
          <w:rFonts w:ascii="Arial" w:hAnsi="Arial" w:cs="Arial"/>
          <w:szCs w:val="20"/>
        </w:rPr>
        <w:endnoteReference w:id="4"/>
      </w:r>
      <w:r w:rsidRPr="001B6C9E">
        <w:rPr>
          <w:rFonts w:ascii="Arial" w:hAnsi="Arial" w:cs="Arial"/>
          <w:szCs w:val="20"/>
        </w:rPr>
        <w:t xml:space="preserve"> geen aanleiding om tot enige correctie over te gaan, omdat </w:t>
      </w:r>
      <w:r w:rsidRPr="001B6C9E">
        <w:rPr>
          <w:rFonts w:ascii="Arial" w:hAnsi="Arial" w:cs="Arial"/>
          <w:szCs w:val="20"/>
        </w:rPr>
        <w:lastRenderedPageBreak/>
        <w:t xml:space="preserve">bij een </w:t>
      </w:r>
      <w:r w:rsidR="00786A7B" w:rsidRPr="001B6C9E">
        <w:rPr>
          <w:rFonts w:ascii="Arial" w:hAnsi="Arial" w:cs="Arial"/>
          <w:szCs w:val="20"/>
        </w:rPr>
        <w:t>regresnemend</w:t>
      </w:r>
      <w:r w:rsidRPr="001B6C9E">
        <w:rPr>
          <w:rFonts w:ascii="Arial" w:hAnsi="Arial" w:cs="Arial"/>
          <w:szCs w:val="20"/>
        </w:rPr>
        <w:t>e verzekeraar, de billijkheidscorrectie terughoudend dient te worden toegepast</w:t>
      </w:r>
      <w:r w:rsidRPr="001B6C9E">
        <w:rPr>
          <w:rFonts w:ascii="Arial" w:hAnsi="Arial" w:cs="Arial"/>
          <w:i/>
          <w:szCs w:val="20"/>
        </w:rPr>
        <w:t xml:space="preserve">. </w:t>
      </w:r>
      <w:r w:rsidRPr="001B6C9E">
        <w:rPr>
          <w:rFonts w:ascii="Arial" w:hAnsi="Arial" w:cs="Arial"/>
          <w:szCs w:val="20"/>
        </w:rPr>
        <w:t>Ook het Hof Amsterdam</w:t>
      </w:r>
      <w:r w:rsidRPr="001B6C9E">
        <w:rPr>
          <w:rStyle w:val="Eindnootmarkering"/>
          <w:rFonts w:ascii="Arial" w:hAnsi="Arial" w:cs="Arial"/>
          <w:szCs w:val="20"/>
        </w:rPr>
        <w:endnoteReference w:id="5"/>
      </w:r>
      <w:r w:rsidRPr="001B6C9E">
        <w:rPr>
          <w:rFonts w:ascii="Arial" w:hAnsi="Arial" w:cs="Arial"/>
          <w:szCs w:val="20"/>
        </w:rPr>
        <w:t xml:space="preserve"> oordeelde dat – gegeven het persoonlijk karakter van de factoren die tot de correctie aanleiding geven – geen reden bestaat een gesubrogeerde verzekeraar daarin te laten delen.</w:t>
      </w:r>
    </w:p>
    <w:p w:rsidR="00612E6B" w:rsidRPr="001B6C9E" w:rsidRDefault="00612E6B" w:rsidP="001D5A69">
      <w:pPr>
        <w:spacing w:line="240" w:lineRule="auto"/>
        <w:contextualSpacing/>
        <w:rPr>
          <w:rFonts w:ascii="Arial" w:hAnsi="Arial" w:cs="Arial"/>
          <w:szCs w:val="20"/>
        </w:rPr>
      </w:pPr>
      <w:r w:rsidRPr="001B6C9E">
        <w:rPr>
          <w:rFonts w:ascii="Arial" w:hAnsi="Arial" w:cs="Arial"/>
          <w:szCs w:val="20"/>
        </w:rPr>
        <w:t>Met het arrest van 10 juli 2015 biedt de Hoge Raad dus de (gewenste) duidelijkheid. Terecht wordt de subrogatieregeling van art. 7:962 lid 1 BW vooropgesteld, nu als uitgangspunt geldt dat de gesubrogeerde verzekeraar daadwerkelijk treedt in de rechten van het verzekerde slachtoffer en op gelijke wijze profiteert van de billijkheidscorrectie van het slachtoffer</w:t>
      </w:r>
      <w:r w:rsidRPr="001B6C9E">
        <w:rPr>
          <w:rStyle w:val="Eindnootmarkering"/>
          <w:rFonts w:ascii="Arial" w:hAnsi="Arial" w:cs="Arial"/>
          <w:szCs w:val="20"/>
        </w:rPr>
        <w:endnoteReference w:id="6"/>
      </w:r>
      <w:r w:rsidR="003A46AF" w:rsidRPr="001B6C9E">
        <w:rPr>
          <w:rStyle w:val="Eindnootmarkering"/>
          <w:rFonts w:ascii="Arial" w:hAnsi="Arial" w:cs="Arial"/>
          <w:szCs w:val="20"/>
        </w:rPr>
        <w:endnoteReference w:id="7"/>
      </w:r>
      <w:r w:rsidRPr="001B6C9E">
        <w:rPr>
          <w:rFonts w:ascii="Arial" w:hAnsi="Arial" w:cs="Arial"/>
          <w:szCs w:val="20"/>
        </w:rPr>
        <w:t>.</w:t>
      </w:r>
      <w:r w:rsidR="00516D9F" w:rsidRPr="001B6C9E">
        <w:rPr>
          <w:rFonts w:ascii="Arial" w:hAnsi="Arial" w:cs="Arial"/>
          <w:szCs w:val="20"/>
        </w:rPr>
        <w:br/>
      </w:r>
      <w:r w:rsidRPr="001B6C9E">
        <w:rPr>
          <w:rFonts w:ascii="Arial" w:hAnsi="Arial" w:cs="Arial"/>
          <w:szCs w:val="20"/>
        </w:rPr>
        <w:t>Wel is nieuw dat de Hoge Raad thans een expliciet oordeel geeft over de vraag of bij doorwerking van de billijkheidscorrectie een onderscheid moet worden gemaakt tussen subjectieve en objectieve omstandigheden. Met het ontkennende antwoord op deze vraag gaat de Hoge Raad niet mee in de gedachte van onder meer A-G Spier dat er geen grond bestaat voor subrogatie in “echte” zieligheid: “</w:t>
      </w:r>
      <w:r w:rsidRPr="001B6C9E">
        <w:rPr>
          <w:rFonts w:ascii="Arial" w:hAnsi="Arial" w:cs="Arial"/>
          <w:i/>
          <w:szCs w:val="20"/>
        </w:rPr>
        <w:t>factoren die betrekking hebben op, of zijn ingegeven door, de wens om een mouw aan te passen aan de ernstige gevolgen van het slachtoffer die niet of onvoldoende kunnen worden ondervangen door het – naar gangbare inzichten – beperkte smartengeld of de mogelijkheid om na de schadegebeurtenis toch nog een enigszins aanvaardbaar leven te leiden”</w:t>
      </w:r>
      <w:r w:rsidRPr="001B6C9E">
        <w:rPr>
          <w:rStyle w:val="Eindnootmarkering"/>
          <w:rFonts w:ascii="Arial" w:hAnsi="Arial" w:cs="Arial"/>
          <w:szCs w:val="20"/>
        </w:rPr>
        <w:endnoteReference w:id="8"/>
      </w:r>
      <w:r w:rsidRPr="001B6C9E">
        <w:rPr>
          <w:rFonts w:ascii="Arial" w:hAnsi="Arial" w:cs="Arial"/>
          <w:i/>
          <w:szCs w:val="20"/>
        </w:rPr>
        <w:t>.</w:t>
      </w:r>
    </w:p>
    <w:p w:rsidR="006C32E5" w:rsidRPr="001B6C9E" w:rsidRDefault="00612E6B" w:rsidP="001D5A69">
      <w:pPr>
        <w:spacing w:line="240" w:lineRule="auto"/>
        <w:contextualSpacing/>
        <w:rPr>
          <w:rFonts w:ascii="Arial" w:hAnsi="Arial" w:cs="Arial"/>
          <w:szCs w:val="20"/>
        </w:rPr>
      </w:pPr>
      <w:r w:rsidRPr="001B6C9E">
        <w:rPr>
          <w:rFonts w:ascii="Arial" w:hAnsi="Arial" w:cs="Arial"/>
          <w:szCs w:val="20"/>
        </w:rPr>
        <w:t xml:space="preserve">Deze keuze van de Hoge Raad komt ons niet onlogisch voor. Hoewel vanuit maatschappelijk (de </w:t>
      </w:r>
      <w:r w:rsidR="00786A7B" w:rsidRPr="001B6C9E">
        <w:rPr>
          <w:rFonts w:ascii="Arial" w:hAnsi="Arial" w:cs="Arial"/>
          <w:szCs w:val="20"/>
        </w:rPr>
        <w:t>regresnemend</w:t>
      </w:r>
      <w:r w:rsidRPr="001B6C9E">
        <w:rPr>
          <w:rFonts w:ascii="Arial" w:hAnsi="Arial" w:cs="Arial"/>
          <w:szCs w:val="20"/>
        </w:rPr>
        <w:t>e verzekeraar dient niet te profiteren van werkelijk persoonlijke omstandigheden van een slachtoffer) en theoretisch oogpunt de redenering van Spier, en anderen in de literatuur, is te volgen, zal de uitvoerbaarheid in de praktijk verre van eenvoudig zijn. Het zou immers naar onze inschatting leiden tot zeer lastige discussies. De “</w:t>
      </w:r>
      <w:r w:rsidRPr="001B6C9E">
        <w:rPr>
          <w:rFonts w:ascii="Arial" w:hAnsi="Arial" w:cs="Arial"/>
          <w:i/>
          <w:szCs w:val="20"/>
        </w:rPr>
        <w:t>subjectieve</w:t>
      </w:r>
      <w:r w:rsidRPr="001B6C9E">
        <w:rPr>
          <w:rFonts w:ascii="Arial" w:hAnsi="Arial" w:cs="Arial"/>
          <w:szCs w:val="20"/>
        </w:rPr>
        <w:t>” billijkheidsfactoren</w:t>
      </w:r>
      <w:r w:rsidR="00516D9F" w:rsidRPr="001B6C9E">
        <w:rPr>
          <w:rFonts w:ascii="Arial" w:hAnsi="Arial" w:cs="Arial"/>
          <w:szCs w:val="20"/>
        </w:rPr>
        <w:t xml:space="preserve"> kunnen het beste </w:t>
      </w:r>
      <w:r w:rsidRPr="001B6C9E">
        <w:rPr>
          <w:rFonts w:ascii="Arial" w:hAnsi="Arial" w:cs="Arial"/>
          <w:szCs w:val="20"/>
        </w:rPr>
        <w:t xml:space="preserve">worden </w:t>
      </w:r>
      <w:r w:rsidR="00393721" w:rsidRPr="001B6C9E">
        <w:rPr>
          <w:rFonts w:ascii="Arial" w:hAnsi="Arial" w:cs="Arial"/>
          <w:szCs w:val="20"/>
        </w:rPr>
        <w:t xml:space="preserve">gescheiden </w:t>
      </w:r>
      <w:r w:rsidRPr="001B6C9E">
        <w:rPr>
          <w:rFonts w:ascii="Arial" w:hAnsi="Arial" w:cs="Arial"/>
          <w:szCs w:val="20"/>
        </w:rPr>
        <w:t>van de “</w:t>
      </w:r>
      <w:r w:rsidRPr="001B6C9E">
        <w:rPr>
          <w:rFonts w:ascii="Arial" w:hAnsi="Arial" w:cs="Arial"/>
          <w:i/>
          <w:szCs w:val="20"/>
        </w:rPr>
        <w:t>objectieve</w:t>
      </w:r>
      <w:r w:rsidRPr="001B6C9E">
        <w:rPr>
          <w:rFonts w:ascii="Arial" w:hAnsi="Arial" w:cs="Arial"/>
          <w:szCs w:val="20"/>
        </w:rPr>
        <w:t xml:space="preserve">” billijkheidsfactoren en </w:t>
      </w:r>
      <w:r w:rsidR="00516D9F" w:rsidRPr="001B6C9E">
        <w:rPr>
          <w:rFonts w:ascii="Arial" w:hAnsi="Arial" w:cs="Arial"/>
          <w:szCs w:val="20"/>
        </w:rPr>
        <w:t xml:space="preserve">men zou moeten debatteren </w:t>
      </w:r>
      <w:r w:rsidRPr="001B6C9E">
        <w:rPr>
          <w:rFonts w:ascii="Arial" w:hAnsi="Arial" w:cs="Arial"/>
          <w:szCs w:val="20"/>
        </w:rPr>
        <w:t>over de vraag of het slachtoffer als gevolg van de specifieke omstandigheden door het ernstige letsel harder zou zijn getroffen dan een, zoals Spier noemt, “</w:t>
      </w:r>
      <w:r w:rsidRPr="001B6C9E">
        <w:rPr>
          <w:rFonts w:ascii="Arial" w:hAnsi="Arial" w:cs="Arial"/>
          <w:i/>
          <w:szCs w:val="20"/>
        </w:rPr>
        <w:t>doorsnee</w:t>
      </w:r>
      <w:r w:rsidRPr="001B6C9E">
        <w:rPr>
          <w:rFonts w:ascii="Arial" w:hAnsi="Arial" w:cs="Arial"/>
          <w:szCs w:val="20"/>
        </w:rPr>
        <w:t>” slachtoffer</w:t>
      </w:r>
      <w:r w:rsidRPr="001B6C9E">
        <w:rPr>
          <w:rStyle w:val="Eindnootmarkering"/>
          <w:rFonts w:ascii="Arial" w:hAnsi="Arial" w:cs="Arial"/>
          <w:szCs w:val="20"/>
        </w:rPr>
        <w:endnoteReference w:id="9"/>
      </w:r>
      <w:r w:rsidRPr="001B6C9E">
        <w:rPr>
          <w:rFonts w:ascii="Arial" w:hAnsi="Arial" w:cs="Arial"/>
          <w:szCs w:val="20"/>
        </w:rPr>
        <w:t>. Dergelijke vragen zijn naar onze mening niet, althans bijna niet, te beantwoorden. Voorts zal het voeren van deze discussies gepaard gaan met (hoge) kosten, tijd en energie. En bovendien</w:t>
      </w:r>
      <w:r w:rsidR="00786A7B" w:rsidRPr="001B6C9E">
        <w:rPr>
          <w:rFonts w:ascii="Arial" w:hAnsi="Arial" w:cs="Arial"/>
          <w:szCs w:val="20"/>
        </w:rPr>
        <w:t>,</w:t>
      </w:r>
      <w:r w:rsidRPr="001B6C9E">
        <w:rPr>
          <w:rFonts w:ascii="Arial" w:hAnsi="Arial" w:cs="Arial"/>
          <w:szCs w:val="20"/>
        </w:rPr>
        <w:t xml:space="preserve"> is het nu vanuit het perspectief van de benadeelde wel zo kies als verzekeraars (ellen)lang (door)debatteren over de zeer persoonlijke omstandigheden van een benadeelde? Te meer als de benadeelde door een der partijen (ongewild) bij deze discussie wordt betrokken. Mede gelet op deze laatste gedachte en de tijd- en kostenbesparing zijn wij van mening dat de Hoge Raad vanuit praktisch oogpunt een juiste beslissing heeft genomen. Bovendien kunnen wij ons voorstellen dat de verzekeringsbranche nu ook juist is gebaat bij deze duidelijkheid</w:t>
      </w:r>
      <w:r w:rsidRPr="001B6C9E">
        <w:rPr>
          <w:rStyle w:val="Eindnootmarkering"/>
          <w:rFonts w:ascii="Arial" w:hAnsi="Arial" w:cs="Arial"/>
          <w:szCs w:val="20"/>
        </w:rPr>
        <w:endnoteReference w:id="10"/>
      </w:r>
      <w:r w:rsidRPr="001B6C9E">
        <w:rPr>
          <w:rFonts w:ascii="Arial" w:hAnsi="Arial" w:cs="Arial"/>
          <w:szCs w:val="20"/>
        </w:rPr>
        <w:t xml:space="preserve">. </w:t>
      </w:r>
      <w:r w:rsidR="006C32E5" w:rsidRPr="001B6C9E">
        <w:rPr>
          <w:rFonts w:ascii="Arial" w:hAnsi="Arial" w:cs="Arial"/>
          <w:szCs w:val="20"/>
        </w:rPr>
        <w:t>Al</w:t>
      </w:r>
      <w:r w:rsidR="00905866" w:rsidRPr="001B6C9E">
        <w:rPr>
          <w:rFonts w:ascii="Arial" w:hAnsi="Arial" w:cs="Arial"/>
          <w:szCs w:val="20"/>
        </w:rPr>
        <w:t xml:space="preserve"> </w:t>
      </w:r>
      <w:r w:rsidR="006C32E5" w:rsidRPr="001B6C9E">
        <w:rPr>
          <w:rFonts w:ascii="Arial" w:hAnsi="Arial" w:cs="Arial"/>
          <w:szCs w:val="20"/>
        </w:rPr>
        <w:t>komt</w:t>
      </w:r>
      <w:r w:rsidR="00905866" w:rsidRPr="001B6C9E">
        <w:rPr>
          <w:rFonts w:ascii="Arial" w:hAnsi="Arial" w:cs="Arial"/>
          <w:szCs w:val="20"/>
        </w:rPr>
        <w:t xml:space="preserve"> </w:t>
      </w:r>
      <w:r w:rsidR="006C32E5" w:rsidRPr="001B6C9E">
        <w:rPr>
          <w:rFonts w:ascii="Arial" w:hAnsi="Arial" w:cs="Arial"/>
          <w:szCs w:val="20"/>
        </w:rPr>
        <w:t>deze</w:t>
      </w:r>
      <w:r w:rsidR="00905866" w:rsidRPr="001B6C9E">
        <w:rPr>
          <w:rFonts w:ascii="Arial" w:hAnsi="Arial" w:cs="Arial"/>
          <w:szCs w:val="20"/>
        </w:rPr>
        <w:t xml:space="preserve"> </w:t>
      </w:r>
      <w:r w:rsidR="006C32E5" w:rsidRPr="001B6C9E">
        <w:rPr>
          <w:rFonts w:ascii="Arial" w:hAnsi="Arial" w:cs="Arial"/>
          <w:szCs w:val="20"/>
        </w:rPr>
        <w:t>duidelijkheid</w:t>
      </w:r>
      <w:r w:rsidR="00905866" w:rsidRPr="001B6C9E">
        <w:rPr>
          <w:rFonts w:ascii="Arial" w:hAnsi="Arial" w:cs="Arial"/>
          <w:szCs w:val="20"/>
        </w:rPr>
        <w:t xml:space="preserve"> </w:t>
      </w:r>
      <w:r w:rsidR="006C32E5" w:rsidRPr="001B6C9E">
        <w:rPr>
          <w:rFonts w:ascii="Arial" w:hAnsi="Arial" w:cs="Arial"/>
          <w:szCs w:val="20"/>
        </w:rPr>
        <w:t>in</w:t>
      </w:r>
      <w:r w:rsidR="00905866" w:rsidRPr="001B6C9E">
        <w:rPr>
          <w:rFonts w:ascii="Arial" w:hAnsi="Arial" w:cs="Arial"/>
          <w:szCs w:val="20"/>
        </w:rPr>
        <w:t xml:space="preserve"> </w:t>
      </w:r>
      <w:r w:rsidR="006C32E5" w:rsidRPr="001B6C9E">
        <w:rPr>
          <w:rFonts w:ascii="Arial" w:hAnsi="Arial" w:cs="Arial"/>
          <w:szCs w:val="20"/>
        </w:rPr>
        <w:t>beginsel</w:t>
      </w:r>
      <w:r w:rsidR="00905866" w:rsidRPr="001B6C9E">
        <w:rPr>
          <w:rFonts w:ascii="Arial" w:hAnsi="Arial" w:cs="Arial"/>
          <w:szCs w:val="20"/>
        </w:rPr>
        <w:t xml:space="preserve"> </w:t>
      </w:r>
      <w:r w:rsidR="006C32E5" w:rsidRPr="001B6C9E">
        <w:rPr>
          <w:rFonts w:ascii="Arial" w:hAnsi="Arial" w:cs="Arial"/>
          <w:szCs w:val="20"/>
        </w:rPr>
        <w:t>wel</w:t>
      </w:r>
      <w:r w:rsidR="00905866" w:rsidRPr="001B6C9E">
        <w:rPr>
          <w:rFonts w:ascii="Arial" w:hAnsi="Arial" w:cs="Arial"/>
          <w:szCs w:val="20"/>
        </w:rPr>
        <w:t xml:space="preserve"> </w:t>
      </w:r>
      <w:r w:rsidR="006C32E5" w:rsidRPr="001B6C9E">
        <w:rPr>
          <w:rFonts w:ascii="Arial" w:hAnsi="Arial" w:cs="Arial"/>
          <w:szCs w:val="20"/>
        </w:rPr>
        <w:t>ten</w:t>
      </w:r>
      <w:r w:rsidR="00905866" w:rsidRPr="001B6C9E">
        <w:rPr>
          <w:rFonts w:ascii="Arial" w:hAnsi="Arial" w:cs="Arial"/>
          <w:szCs w:val="20"/>
        </w:rPr>
        <w:t xml:space="preserve"> </w:t>
      </w:r>
      <w:r w:rsidR="006C32E5" w:rsidRPr="001B6C9E">
        <w:rPr>
          <w:rFonts w:ascii="Arial" w:hAnsi="Arial" w:cs="Arial"/>
          <w:szCs w:val="20"/>
        </w:rPr>
        <w:t>laste</w:t>
      </w:r>
      <w:r w:rsidR="00905866" w:rsidRPr="001B6C9E">
        <w:rPr>
          <w:rFonts w:ascii="Arial" w:hAnsi="Arial" w:cs="Arial"/>
          <w:szCs w:val="20"/>
        </w:rPr>
        <w:t xml:space="preserve"> </w:t>
      </w:r>
      <w:r w:rsidR="006C32E5" w:rsidRPr="001B6C9E">
        <w:rPr>
          <w:rFonts w:ascii="Arial" w:hAnsi="Arial" w:cs="Arial"/>
          <w:szCs w:val="20"/>
        </w:rPr>
        <w:t>van</w:t>
      </w:r>
      <w:r w:rsidR="00905866" w:rsidRPr="001B6C9E">
        <w:rPr>
          <w:rFonts w:ascii="Arial" w:hAnsi="Arial" w:cs="Arial"/>
          <w:szCs w:val="20"/>
        </w:rPr>
        <w:t xml:space="preserve"> </w:t>
      </w:r>
      <w:r w:rsidR="006C32E5" w:rsidRPr="001B6C9E">
        <w:rPr>
          <w:rFonts w:ascii="Arial" w:hAnsi="Arial" w:cs="Arial"/>
          <w:szCs w:val="20"/>
        </w:rPr>
        <w:t>de</w:t>
      </w:r>
      <w:r w:rsidR="00905866" w:rsidRPr="001B6C9E">
        <w:rPr>
          <w:rFonts w:ascii="Arial" w:hAnsi="Arial" w:cs="Arial"/>
          <w:szCs w:val="20"/>
        </w:rPr>
        <w:t xml:space="preserve"> </w:t>
      </w:r>
      <w:r w:rsidR="006C32E5" w:rsidRPr="001B6C9E">
        <w:rPr>
          <w:rFonts w:ascii="Arial" w:hAnsi="Arial" w:cs="Arial"/>
          <w:szCs w:val="20"/>
        </w:rPr>
        <w:t>aansprakelijkheidsverzekeraar,</w:t>
      </w:r>
      <w:r w:rsidR="00905866" w:rsidRPr="001B6C9E">
        <w:rPr>
          <w:rFonts w:ascii="Arial" w:hAnsi="Arial" w:cs="Arial"/>
          <w:szCs w:val="20"/>
        </w:rPr>
        <w:t xml:space="preserve"> </w:t>
      </w:r>
      <w:r w:rsidR="006C32E5" w:rsidRPr="001B6C9E">
        <w:rPr>
          <w:rFonts w:ascii="Arial" w:hAnsi="Arial" w:cs="Arial"/>
          <w:szCs w:val="20"/>
        </w:rPr>
        <w:t>nu</w:t>
      </w:r>
      <w:r w:rsidR="00905866" w:rsidRPr="001B6C9E">
        <w:rPr>
          <w:rFonts w:ascii="Arial" w:hAnsi="Arial" w:cs="Arial"/>
          <w:szCs w:val="20"/>
        </w:rPr>
        <w:t xml:space="preserve"> </w:t>
      </w:r>
      <w:r w:rsidR="006C32E5" w:rsidRPr="001B6C9E">
        <w:rPr>
          <w:rFonts w:ascii="Arial" w:hAnsi="Arial" w:cs="Arial"/>
          <w:szCs w:val="20"/>
        </w:rPr>
        <w:t>de</w:t>
      </w:r>
      <w:r w:rsidR="00905866" w:rsidRPr="001B6C9E">
        <w:rPr>
          <w:rFonts w:ascii="Arial" w:hAnsi="Arial" w:cs="Arial"/>
          <w:szCs w:val="20"/>
        </w:rPr>
        <w:t xml:space="preserve"> </w:t>
      </w:r>
      <w:r w:rsidR="006C32E5" w:rsidRPr="001B6C9E">
        <w:rPr>
          <w:rFonts w:ascii="Arial" w:hAnsi="Arial" w:cs="Arial"/>
          <w:szCs w:val="20"/>
        </w:rPr>
        <w:t>billijkheidscorrectie</w:t>
      </w:r>
      <w:r w:rsidR="00905866" w:rsidRPr="001B6C9E">
        <w:rPr>
          <w:rFonts w:ascii="Arial" w:hAnsi="Arial" w:cs="Arial"/>
          <w:szCs w:val="20"/>
        </w:rPr>
        <w:t xml:space="preserve"> </w:t>
      </w:r>
      <w:r w:rsidR="006C32E5" w:rsidRPr="001B6C9E">
        <w:rPr>
          <w:rFonts w:ascii="Arial" w:hAnsi="Arial" w:cs="Arial"/>
          <w:szCs w:val="20"/>
        </w:rPr>
        <w:t>de</w:t>
      </w:r>
      <w:r w:rsidR="00905866" w:rsidRPr="001B6C9E">
        <w:rPr>
          <w:rFonts w:ascii="Arial" w:hAnsi="Arial" w:cs="Arial"/>
          <w:szCs w:val="20"/>
        </w:rPr>
        <w:t xml:space="preserve"> </w:t>
      </w:r>
      <w:r w:rsidR="006C32E5" w:rsidRPr="001B6C9E">
        <w:rPr>
          <w:rFonts w:ascii="Arial" w:hAnsi="Arial" w:cs="Arial"/>
          <w:szCs w:val="20"/>
        </w:rPr>
        <w:t>vergoedingsplicht</w:t>
      </w:r>
      <w:r w:rsidR="00905866" w:rsidRPr="001B6C9E">
        <w:rPr>
          <w:rFonts w:ascii="Arial" w:hAnsi="Arial" w:cs="Arial"/>
          <w:szCs w:val="20"/>
        </w:rPr>
        <w:t xml:space="preserve"> </w:t>
      </w:r>
      <w:r w:rsidR="006C32E5" w:rsidRPr="001B6C9E">
        <w:rPr>
          <w:rFonts w:ascii="Arial" w:hAnsi="Arial" w:cs="Arial"/>
          <w:szCs w:val="20"/>
        </w:rPr>
        <w:t>in</w:t>
      </w:r>
      <w:r w:rsidR="00905866" w:rsidRPr="001B6C9E">
        <w:rPr>
          <w:rFonts w:ascii="Arial" w:hAnsi="Arial" w:cs="Arial"/>
          <w:szCs w:val="20"/>
        </w:rPr>
        <w:t xml:space="preserve"> </w:t>
      </w:r>
      <w:r w:rsidR="006C32E5" w:rsidRPr="001B6C9E">
        <w:rPr>
          <w:rFonts w:ascii="Arial" w:hAnsi="Arial" w:cs="Arial"/>
          <w:szCs w:val="20"/>
        </w:rPr>
        <w:t>de</w:t>
      </w:r>
      <w:r w:rsidR="00905866" w:rsidRPr="001B6C9E">
        <w:rPr>
          <w:rFonts w:ascii="Arial" w:hAnsi="Arial" w:cs="Arial"/>
          <w:szCs w:val="20"/>
        </w:rPr>
        <w:t xml:space="preserve"> </w:t>
      </w:r>
      <w:r w:rsidR="006C32E5" w:rsidRPr="001B6C9E">
        <w:rPr>
          <w:rFonts w:ascii="Arial" w:hAnsi="Arial" w:cs="Arial"/>
          <w:szCs w:val="20"/>
        </w:rPr>
        <w:t>praktijk</w:t>
      </w:r>
      <w:r w:rsidR="00905866" w:rsidRPr="001B6C9E">
        <w:rPr>
          <w:rFonts w:ascii="Arial" w:hAnsi="Arial" w:cs="Arial"/>
          <w:szCs w:val="20"/>
        </w:rPr>
        <w:t xml:space="preserve"> </w:t>
      </w:r>
      <w:r w:rsidR="006C32E5" w:rsidRPr="001B6C9E">
        <w:rPr>
          <w:rFonts w:ascii="Arial" w:hAnsi="Arial" w:cs="Arial"/>
          <w:szCs w:val="20"/>
        </w:rPr>
        <w:t>doorgaans</w:t>
      </w:r>
      <w:r w:rsidR="00905866" w:rsidRPr="001B6C9E">
        <w:rPr>
          <w:rFonts w:ascii="Arial" w:hAnsi="Arial" w:cs="Arial"/>
          <w:szCs w:val="20"/>
        </w:rPr>
        <w:t xml:space="preserve"> </w:t>
      </w:r>
      <w:r w:rsidR="006C32E5" w:rsidRPr="001B6C9E">
        <w:rPr>
          <w:rFonts w:ascii="Arial" w:hAnsi="Arial" w:cs="Arial"/>
          <w:szCs w:val="20"/>
        </w:rPr>
        <w:t>corrigeert</w:t>
      </w:r>
      <w:r w:rsidR="00905866" w:rsidRPr="001B6C9E">
        <w:rPr>
          <w:rFonts w:ascii="Arial" w:hAnsi="Arial" w:cs="Arial"/>
          <w:szCs w:val="20"/>
        </w:rPr>
        <w:t xml:space="preserve"> </w:t>
      </w:r>
      <w:r w:rsidR="006C32E5" w:rsidRPr="001B6C9E">
        <w:rPr>
          <w:rFonts w:ascii="Arial" w:hAnsi="Arial" w:cs="Arial"/>
          <w:szCs w:val="20"/>
        </w:rPr>
        <w:t>ten</w:t>
      </w:r>
      <w:r w:rsidR="00905866" w:rsidRPr="001B6C9E">
        <w:rPr>
          <w:rFonts w:ascii="Arial" w:hAnsi="Arial" w:cs="Arial"/>
          <w:szCs w:val="20"/>
        </w:rPr>
        <w:t xml:space="preserve"> </w:t>
      </w:r>
      <w:r w:rsidR="006C32E5" w:rsidRPr="001B6C9E">
        <w:rPr>
          <w:rFonts w:ascii="Arial" w:hAnsi="Arial" w:cs="Arial"/>
          <w:szCs w:val="20"/>
        </w:rPr>
        <w:t>gunste</w:t>
      </w:r>
      <w:r w:rsidR="00905866" w:rsidRPr="001B6C9E">
        <w:rPr>
          <w:rFonts w:ascii="Arial" w:hAnsi="Arial" w:cs="Arial"/>
          <w:szCs w:val="20"/>
        </w:rPr>
        <w:t xml:space="preserve"> </w:t>
      </w:r>
      <w:r w:rsidR="006C32E5" w:rsidRPr="001B6C9E">
        <w:rPr>
          <w:rFonts w:ascii="Arial" w:hAnsi="Arial" w:cs="Arial"/>
          <w:szCs w:val="20"/>
        </w:rPr>
        <w:t>van</w:t>
      </w:r>
      <w:r w:rsidR="00905866" w:rsidRPr="001B6C9E">
        <w:rPr>
          <w:rFonts w:ascii="Arial" w:hAnsi="Arial" w:cs="Arial"/>
          <w:szCs w:val="20"/>
        </w:rPr>
        <w:t xml:space="preserve"> </w:t>
      </w:r>
      <w:r w:rsidR="006C32E5" w:rsidRPr="001B6C9E">
        <w:rPr>
          <w:rFonts w:ascii="Arial" w:hAnsi="Arial" w:cs="Arial"/>
          <w:szCs w:val="20"/>
        </w:rPr>
        <w:t>de</w:t>
      </w:r>
      <w:r w:rsidR="00905866" w:rsidRPr="001B6C9E">
        <w:rPr>
          <w:rFonts w:ascii="Arial" w:hAnsi="Arial" w:cs="Arial"/>
          <w:szCs w:val="20"/>
        </w:rPr>
        <w:t xml:space="preserve"> </w:t>
      </w:r>
      <w:r w:rsidR="006C32E5" w:rsidRPr="001B6C9E">
        <w:rPr>
          <w:rFonts w:ascii="Arial" w:hAnsi="Arial" w:cs="Arial"/>
          <w:szCs w:val="20"/>
        </w:rPr>
        <w:t>benadeelde</w:t>
      </w:r>
      <w:r w:rsidR="00905866" w:rsidRPr="001B6C9E">
        <w:rPr>
          <w:rFonts w:ascii="Arial" w:hAnsi="Arial" w:cs="Arial"/>
          <w:szCs w:val="20"/>
        </w:rPr>
        <w:t xml:space="preserve"> </w:t>
      </w:r>
      <w:r w:rsidR="006C32E5" w:rsidRPr="001B6C9E">
        <w:rPr>
          <w:rFonts w:ascii="Arial" w:hAnsi="Arial" w:cs="Arial"/>
          <w:szCs w:val="20"/>
        </w:rPr>
        <w:t>en</w:t>
      </w:r>
      <w:r w:rsidR="00905866" w:rsidRPr="001B6C9E">
        <w:rPr>
          <w:rFonts w:ascii="Arial" w:hAnsi="Arial" w:cs="Arial"/>
          <w:szCs w:val="20"/>
        </w:rPr>
        <w:t xml:space="preserve"> </w:t>
      </w:r>
      <w:r w:rsidR="006C32E5" w:rsidRPr="001B6C9E">
        <w:rPr>
          <w:rFonts w:ascii="Arial" w:hAnsi="Arial" w:cs="Arial"/>
          <w:szCs w:val="20"/>
        </w:rPr>
        <w:t>daarmee</w:t>
      </w:r>
      <w:r w:rsidR="00905866" w:rsidRPr="001B6C9E">
        <w:rPr>
          <w:rFonts w:ascii="Arial" w:hAnsi="Arial" w:cs="Arial"/>
          <w:szCs w:val="20"/>
        </w:rPr>
        <w:t xml:space="preserve"> </w:t>
      </w:r>
      <w:r w:rsidR="006C32E5" w:rsidRPr="001B6C9E">
        <w:rPr>
          <w:rFonts w:ascii="Arial" w:hAnsi="Arial" w:cs="Arial"/>
          <w:szCs w:val="20"/>
        </w:rPr>
        <w:t>de</w:t>
      </w:r>
      <w:r w:rsidR="00905866" w:rsidRPr="001B6C9E">
        <w:rPr>
          <w:rFonts w:ascii="Arial" w:hAnsi="Arial" w:cs="Arial"/>
          <w:szCs w:val="20"/>
        </w:rPr>
        <w:t xml:space="preserve"> </w:t>
      </w:r>
      <w:r w:rsidR="00786A7B" w:rsidRPr="001B6C9E">
        <w:rPr>
          <w:rFonts w:ascii="Arial" w:hAnsi="Arial" w:cs="Arial"/>
          <w:szCs w:val="20"/>
        </w:rPr>
        <w:t>regresnemend</w:t>
      </w:r>
      <w:r w:rsidR="006C32E5" w:rsidRPr="001B6C9E">
        <w:rPr>
          <w:rFonts w:ascii="Arial" w:hAnsi="Arial" w:cs="Arial"/>
          <w:szCs w:val="20"/>
        </w:rPr>
        <w:t>e</w:t>
      </w:r>
      <w:r w:rsidR="00905866" w:rsidRPr="001B6C9E">
        <w:rPr>
          <w:rFonts w:ascii="Arial" w:hAnsi="Arial" w:cs="Arial"/>
          <w:szCs w:val="20"/>
        </w:rPr>
        <w:t xml:space="preserve"> </w:t>
      </w:r>
      <w:r w:rsidR="006C32E5" w:rsidRPr="001B6C9E">
        <w:rPr>
          <w:rFonts w:ascii="Arial" w:hAnsi="Arial" w:cs="Arial"/>
          <w:szCs w:val="20"/>
        </w:rPr>
        <w:t>verzekeraar.</w:t>
      </w:r>
    </w:p>
    <w:p w:rsidR="006C32E5" w:rsidRPr="001B6C9E" w:rsidRDefault="006C32E5" w:rsidP="001D5A69">
      <w:pPr>
        <w:spacing w:line="240" w:lineRule="auto"/>
        <w:contextualSpacing/>
        <w:rPr>
          <w:rFonts w:ascii="Arial" w:hAnsi="Arial" w:cs="Arial"/>
          <w:szCs w:val="20"/>
        </w:rPr>
      </w:pPr>
    </w:p>
    <w:sectPr w:rsidR="006C32E5" w:rsidRPr="001B6C9E" w:rsidSect="001D5A69">
      <w:head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48" w:rsidRDefault="008E4E48" w:rsidP="000236D5">
      <w:pPr>
        <w:spacing w:after="0" w:line="240" w:lineRule="auto"/>
      </w:pPr>
      <w:r>
        <w:separator/>
      </w:r>
    </w:p>
  </w:endnote>
  <w:endnote w:type="continuationSeparator" w:id="0">
    <w:p w:rsidR="008E4E48" w:rsidRDefault="008E4E48" w:rsidP="000236D5">
      <w:pPr>
        <w:spacing w:after="0" w:line="240" w:lineRule="auto"/>
      </w:pPr>
      <w:r>
        <w:continuationSeparator/>
      </w:r>
    </w:p>
  </w:endnote>
  <w:endnote w:id="1">
    <w:p w:rsidR="00786A7B" w:rsidRPr="00516D9F" w:rsidRDefault="00786A7B" w:rsidP="00612E6B">
      <w:pPr>
        <w:pStyle w:val="Eindnoottekst"/>
        <w:contextualSpacing/>
        <w:rPr>
          <w:rFonts w:ascii="Arial" w:hAnsi="Arial" w:cs="Arial"/>
        </w:rPr>
      </w:pPr>
      <w:r w:rsidRPr="00612E6B">
        <w:rPr>
          <w:rStyle w:val="Eindnootmarkering"/>
          <w:rFonts w:ascii="Arial" w:hAnsi="Arial" w:cs="Arial"/>
        </w:rPr>
        <w:endnoteRef/>
      </w:r>
      <w:r w:rsidRPr="00612E6B">
        <w:rPr>
          <w:rFonts w:ascii="Arial" w:hAnsi="Arial" w:cs="Arial"/>
        </w:rPr>
        <w:t xml:space="preserve"> </w:t>
      </w:r>
      <w:r w:rsidRPr="00516D9F">
        <w:rPr>
          <w:rFonts w:ascii="Arial" w:hAnsi="Arial" w:cs="Arial"/>
        </w:rPr>
        <w:t>Rb. Middelburg 3 maart 2010, ECLI:NL:RBMID:2010:BM3355.</w:t>
      </w:r>
    </w:p>
  </w:endnote>
  <w:endnote w:id="2">
    <w:p w:rsidR="00786A7B" w:rsidRPr="00727E44" w:rsidRDefault="00786A7B" w:rsidP="00612E6B">
      <w:pPr>
        <w:pStyle w:val="Eindnoottekst"/>
        <w:contextualSpacing/>
        <w:rPr>
          <w:rFonts w:ascii="Arial" w:hAnsi="Arial" w:cs="Arial"/>
          <w:lang w:val="de-DE"/>
        </w:rPr>
      </w:pPr>
      <w:r w:rsidRPr="00516D9F">
        <w:rPr>
          <w:rStyle w:val="Eindnootmarkering"/>
          <w:rFonts w:ascii="Arial" w:hAnsi="Arial" w:cs="Arial"/>
        </w:rPr>
        <w:endnoteRef/>
      </w:r>
      <w:r w:rsidRPr="00727E44">
        <w:rPr>
          <w:rFonts w:ascii="Arial" w:hAnsi="Arial" w:cs="Arial"/>
          <w:lang w:val="de-DE"/>
        </w:rPr>
        <w:t xml:space="preserve"> Hof Den Bosch 4 </w:t>
      </w:r>
      <w:proofErr w:type="spellStart"/>
      <w:r w:rsidRPr="00727E44">
        <w:rPr>
          <w:rFonts w:ascii="Arial" w:hAnsi="Arial" w:cs="Arial"/>
          <w:lang w:val="de-DE"/>
        </w:rPr>
        <w:t>februari</w:t>
      </w:r>
      <w:proofErr w:type="spellEnd"/>
      <w:r w:rsidRPr="00727E44">
        <w:rPr>
          <w:rFonts w:ascii="Arial" w:hAnsi="Arial" w:cs="Arial"/>
          <w:lang w:val="de-DE"/>
        </w:rPr>
        <w:t xml:space="preserve"> 2014, </w:t>
      </w:r>
      <w:r w:rsidRPr="00727E44">
        <w:rPr>
          <w:rFonts w:ascii="Arial" w:hAnsi="Arial" w:cs="Arial"/>
          <w:i/>
          <w:lang w:val="de-DE"/>
        </w:rPr>
        <w:t>RAV</w:t>
      </w:r>
      <w:r w:rsidRPr="00727E44">
        <w:rPr>
          <w:rFonts w:ascii="Arial" w:hAnsi="Arial" w:cs="Arial"/>
          <w:lang w:val="de-DE"/>
        </w:rPr>
        <w:t xml:space="preserve"> 2014/42.</w:t>
      </w:r>
    </w:p>
  </w:endnote>
  <w:endnote w:id="3">
    <w:p w:rsidR="00786A7B" w:rsidRPr="00727E44" w:rsidRDefault="00786A7B" w:rsidP="00612E6B">
      <w:pPr>
        <w:pStyle w:val="Eindnoottekst"/>
        <w:contextualSpacing/>
        <w:rPr>
          <w:rFonts w:ascii="Arial" w:hAnsi="Arial" w:cs="Arial"/>
          <w:lang w:val="de-DE"/>
        </w:rPr>
      </w:pPr>
      <w:r w:rsidRPr="00516D9F">
        <w:rPr>
          <w:rStyle w:val="Eindnootmarkering"/>
          <w:rFonts w:ascii="Arial" w:hAnsi="Arial" w:cs="Arial"/>
        </w:rPr>
        <w:endnoteRef/>
      </w:r>
      <w:r w:rsidRPr="00727E44">
        <w:rPr>
          <w:rFonts w:ascii="Arial" w:hAnsi="Arial" w:cs="Arial"/>
          <w:lang w:val="de-DE"/>
        </w:rPr>
        <w:t xml:space="preserve"> HR 5 </w:t>
      </w:r>
      <w:proofErr w:type="spellStart"/>
      <w:r w:rsidRPr="00727E44">
        <w:rPr>
          <w:rFonts w:ascii="Arial" w:hAnsi="Arial" w:cs="Arial"/>
          <w:lang w:val="de-DE"/>
        </w:rPr>
        <w:t>december</w:t>
      </w:r>
      <w:proofErr w:type="spellEnd"/>
      <w:r w:rsidRPr="00727E44">
        <w:rPr>
          <w:rFonts w:ascii="Arial" w:hAnsi="Arial" w:cs="Arial"/>
          <w:lang w:val="de-DE"/>
        </w:rPr>
        <w:t xml:space="preserve"> 1997, ECLI:NL:HR:1997:ZC2517, </w:t>
      </w:r>
      <w:r w:rsidRPr="00727E44">
        <w:rPr>
          <w:rFonts w:ascii="Arial" w:hAnsi="Arial" w:cs="Arial"/>
          <w:i/>
          <w:lang w:val="de-DE"/>
        </w:rPr>
        <w:t xml:space="preserve">NJ </w:t>
      </w:r>
      <w:r w:rsidRPr="00727E44">
        <w:rPr>
          <w:rFonts w:ascii="Arial" w:hAnsi="Arial" w:cs="Arial"/>
          <w:lang w:val="de-DE"/>
        </w:rPr>
        <w:t>1998/400, r.o. 3.7.</w:t>
      </w:r>
    </w:p>
  </w:endnote>
  <w:endnote w:id="4">
    <w:p w:rsidR="00786A7B" w:rsidRPr="00727E44" w:rsidRDefault="00786A7B" w:rsidP="00612E6B">
      <w:pPr>
        <w:pStyle w:val="Eindnoottekst"/>
        <w:contextualSpacing/>
        <w:rPr>
          <w:rFonts w:ascii="Arial" w:hAnsi="Arial" w:cs="Arial"/>
          <w:lang w:val="en-US"/>
        </w:rPr>
      </w:pPr>
      <w:r w:rsidRPr="00516D9F">
        <w:rPr>
          <w:rStyle w:val="Eindnootmarkering"/>
          <w:rFonts w:ascii="Arial" w:hAnsi="Arial" w:cs="Arial"/>
        </w:rPr>
        <w:endnoteRef/>
      </w:r>
      <w:r w:rsidRPr="00727E44">
        <w:rPr>
          <w:rFonts w:ascii="Arial" w:hAnsi="Arial" w:cs="Arial"/>
          <w:lang w:val="en-US"/>
        </w:rPr>
        <w:t xml:space="preserve"> </w:t>
      </w:r>
      <w:proofErr w:type="spellStart"/>
      <w:r w:rsidRPr="00727E44">
        <w:rPr>
          <w:rFonts w:ascii="Arial" w:hAnsi="Arial" w:cs="Arial"/>
          <w:lang w:val="en-US"/>
        </w:rPr>
        <w:t>Rb</w:t>
      </w:r>
      <w:proofErr w:type="spellEnd"/>
      <w:r w:rsidRPr="00727E44">
        <w:rPr>
          <w:rFonts w:ascii="Arial" w:hAnsi="Arial" w:cs="Arial"/>
          <w:lang w:val="en-US"/>
        </w:rPr>
        <w:t xml:space="preserve">. Alkmaar 6 </w:t>
      </w:r>
      <w:proofErr w:type="spellStart"/>
      <w:r w:rsidRPr="00727E44">
        <w:rPr>
          <w:rFonts w:ascii="Arial" w:hAnsi="Arial" w:cs="Arial"/>
          <w:lang w:val="en-US"/>
        </w:rPr>
        <w:t>april</w:t>
      </w:r>
      <w:proofErr w:type="spellEnd"/>
      <w:r w:rsidRPr="00727E44">
        <w:rPr>
          <w:rFonts w:ascii="Arial" w:hAnsi="Arial" w:cs="Arial"/>
          <w:lang w:val="en-US"/>
        </w:rPr>
        <w:t xml:space="preserve"> 2005 ECLI:NL:RBALK:2005:AT8837.</w:t>
      </w:r>
    </w:p>
  </w:endnote>
  <w:endnote w:id="5">
    <w:p w:rsidR="00786A7B" w:rsidRPr="00516D9F" w:rsidRDefault="00786A7B" w:rsidP="00612E6B">
      <w:pPr>
        <w:pStyle w:val="Eindnoottekst"/>
        <w:contextualSpacing/>
        <w:rPr>
          <w:rFonts w:ascii="Arial" w:hAnsi="Arial" w:cs="Arial"/>
        </w:rPr>
      </w:pPr>
      <w:r w:rsidRPr="00516D9F">
        <w:rPr>
          <w:rStyle w:val="Eindnootmarkering"/>
          <w:rFonts w:ascii="Arial" w:hAnsi="Arial" w:cs="Arial"/>
        </w:rPr>
        <w:endnoteRef/>
      </w:r>
      <w:r w:rsidRPr="00516D9F">
        <w:rPr>
          <w:rFonts w:ascii="Arial" w:hAnsi="Arial" w:cs="Arial"/>
        </w:rPr>
        <w:t xml:space="preserve"> Hof Amsterdam 18 januari 2007, </w:t>
      </w:r>
      <w:r w:rsidRPr="00516D9F">
        <w:rPr>
          <w:rFonts w:ascii="Arial" w:hAnsi="Arial" w:cs="Arial"/>
          <w:i/>
        </w:rPr>
        <w:t>VR</w:t>
      </w:r>
      <w:r w:rsidRPr="00516D9F">
        <w:rPr>
          <w:rFonts w:ascii="Arial" w:hAnsi="Arial" w:cs="Arial"/>
        </w:rPr>
        <w:t xml:space="preserve"> 2008, 49.</w:t>
      </w:r>
    </w:p>
  </w:endnote>
  <w:endnote w:id="6">
    <w:p w:rsidR="00786A7B" w:rsidRPr="00516D9F" w:rsidRDefault="00786A7B" w:rsidP="00612E6B">
      <w:pPr>
        <w:pStyle w:val="Eindnoottekst"/>
        <w:contextualSpacing/>
        <w:rPr>
          <w:rFonts w:ascii="Arial" w:hAnsi="Arial" w:cs="Arial"/>
        </w:rPr>
      </w:pPr>
      <w:r w:rsidRPr="00516D9F">
        <w:rPr>
          <w:rStyle w:val="Eindnootmarkering"/>
          <w:rFonts w:ascii="Arial" w:hAnsi="Arial" w:cs="Arial"/>
        </w:rPr>
        <w:endnoteRef/>
      </w:r>
      <w:r w:rsidRPr="00516D9F">
        <w:rPr>
          <w:rFonts w:ascii="Arial" w:hAnsi="Arial" w:cs="Arial"/>
        </w:rPr>
        <w:t xml:space="preserve"> Let wel, de Hoge Raad bezigt het woord ‘uitgangspunt’, hetgeen doet vermoeden dat ruimte wordt gelaten voor een uitzonderingssituatie.</w:t>
      </w:r>
    </w:p>
  </w:endnote>
  <w:endnote w:id="7">
    <w:p w:rsidR="003A46AF" w:rsidRPr="00516D9F" w:rsidRDefault="003A46AF" w:rsidP="003A46AF">
      <w:pPr>
        <w:pStyle w:val="Eindnoottekst"/>
        <w:contextualSpacing/>
        <w:rPr>
          <w:rFonts w:ascii="Arial" w:hAnsi="Arial" w:cs="Arial"/>
        </w:rPr>
      </w:pPr>
      <w:r w:rsidRPr="00516D9F">
        <w:rPr>
          <w:rStyle w:val="Eindnootmarkering"/>
          <w:rFonts w:ascii="Arial" w:hAnsi="Arial" w:cs="Arial"/>
        </w:rPr>
        <w:endnoteRef/>
      </w:r>
      <w:r w:rsidRPr="00516D9F">
        <w:rPr>
          <w:rFonts w:ascii="Arial" w:hAnsi="Arial" w:cs="Arial"/>
        </w:rPr>
        <w:t xml:space="preserve"> Hoewel de Hoge Raad hier oordeelt over de </w:t>
      </w:r>
      <w:r w:rsidR="001C4B55" w:rsidRPr="00516D9F">
        <w:rPr>
          <w:rFonts w:ascii="Arial" w:hAnsi="Arial" w:cs="Arial"/>
        </w:rPr>
        <w:t xml:space="preserve">concrete </w:t>
      </w:r>
      <w:r w:rsidRPr="00516D9F">
        <w:rPr>
          <w:rFonts w:ascii="Arial" w:hAnsi="Arial" w:cs="Arial"/>
        </w:rPr>
        <w:t xml:space="preserve">doorwerking van de billijkheidscorrectie in de regresverhouding op basis van artikel 7:962 BW, zal deze doorwerking naar onze opvatting ook gelden voor de werkgever </w:t>
      </w:r>
      <w:r w:rsidR="001C4B55" w:rsidRPr="00516D9F">
        <w:rPr>
          <w:rFonts w:ascii="Arial" w:hAnsi="Arial" w:cs="Arial"/>
        </w:rPr>
        <w:t>en</w:t>
      </w:r>
      <w:r w:rsidR="00B977AF" w:rsidRPr="00516D9F">
        <w:rPr>
          <w:rFonts w:ascii="Arial" w:hAnsi="Arial" w:cs="Arial"/>
        </w:rPr>
        <w:t xml:space="preserve"> het UWV</w:t>
      </w:r>
      <w:r w:rsidR="001C4B55" w:rsidRPr="00516D9F">
        <w:rPr>
          <w:rFonts w:ascii="Arial" w:hAnsi="Arial" w:cs="Arial"/>
        </w:rPr>
        <w:t xml:space="preserve"> die regres nemen </w:t>
      </w:r>
      <w:r w:rsidRPr="00516D9F">
        <w:rPr>
          <w:rFonts w:ascii="Arial" w:hAnsi="Arial" w:cs="Arial"/>
        </w:rPr>
        <w:t>op basis van</w:t>
      </w:r>
      <w:r w:rsidR="00B977AF" w:rsidRPr="00516D9F">
        <w:rPr>
          <w:rFonts w:ascii="Arial" w:hAnsi="Arial" w:cs="Arial"/>
        </w:rPr>
        <w:t xml:space="preserve"> respectievelijk</w:t>
      </w:r>
      <w:r w:rsidRPr="00516D9F">
        <w:rPr>
          <w:rFonts w:ascii="Arial" w:hAnsi="Arial" w:cs="Arial"/>
        </w:rPr>
        <w:t xml:space="preserve"> </w:t>
      </w:r>
      <w:r w:rsidR="00C8348D">
        <w:rPr>
          <w:rFonts w:ascii="Arial" w:hAnsi="Arial" w:cs="Arial"/>
        </w:rPr>
        <w:t xml:space="preserve">art. </w:t>
      </w:r>
      <w:r w:rsidRPr="00516D9F">
        <w:rPr>
          <w:rFonts w:ascii="Arial" w:hAnsi="Arial" w:cs="Arial"/>
        </w:rPr>
        <w:t xml:space="preserve">6:107a </w:t>
      </w:r>
      <w:r w:rsidR="00C8348D">
        <w:rPr>
          <w:rFonts w:ascii="Arial" w:hAnsi="Arial" w:cs="Arial"/>
        </w:rPr>
        <w:t>dan wel art.</w:t>
      </w:r>
      <w:r w:rsidR="00B977AF" w:rsidRPr="00516D9F">
        <w:rPr>
          <w:rFonts w:ascii="Arial" w:hAnsi="Arial" w:cs="Arial"/>
        </w:rPr>
        <w:t xml:space="preserve"> 99 WIA of 52a Ziektewet</w:t>
      </w:r>
      <w:r w:rsidR="00516D9F">
        <w:rPr>
          <w:rFonts w:ascii="Arial" w:hAnsi="Arial" w:cs="Arial"/>
        </w:rPr>
        <w:t>, gelet op het geldende ‘</w:t>
      </w:r>
      <w:r w:rsidR="00727E44">
        <w:rPr>
          <w:rFonts w:ascii="Arial" w:hAnsi="Arial" w:cs="Arial"/>
        </w:rPr>
        <w:t>civiel</w:t>
      </w:r>
      <w:r w:rsidR="001C4B55" w:rsidRPr="00516D9F">
        <w:rPr>
          <w:rFonts w:ascii="Arial" w:hAnsi="Arial" w:cs="Arial"/>
        </w:rPr>
        <w:t xml:space="preserve"> plafond</w:t>
      </w:r>
      <w:r w:rsidR="00516D9F">
        <w:rPr>
          <w:rFonts w:ascii="Arial" w:hAnsi="Arial" w:cs="Arial"/>
        </w:rPr>
        <w:t>’</w:t>
      </w:r>
      <w:r w:rsidR="005C123B" w:rsidRPr="00516D9F">
        <w:rPr>
          <w:rFonts w:ascii="Arial" w:hAnsi="Arial" w:cs="Arial"/>
        </w:rPr>
        <w:t>.</w:t>
      </w:r>
    </w:p>
  </w:endnote>
  <w:endnote w:id="8">
    <w:p w:rsidR="00786A7B" w:rsidRPr="00516D9F" w:rsidRDefault="00786A7B" w:rsidP="00612E6B">
      <w:pPr>
        <w:pStyle w:val="Eindnoottekst"/>
        <w:contextualSpacing/>
        <w:rPr>
          <w:rFonts w:ascii="Arial" w:hAnsi="Arial" w:cs="Arial"/>
        </w:rPr>
      </w:pPr>
      <w:r w:rsidRPr="00516D9F">
        <w:rPr>
          <w:rStyle w:val="Eindnootmarkering"/>
          <w:rFonts w:ascii="Arial" w:hAnsi="Arial" w:cs="Arial"/>
        </w:rPr>
        <w:endnoteRef/>
      </w:r>
      <w:r w:rsidRPr="00516D9F">
        <w:rPr>
          <w:rFonts w:ascii="Arial" w:hAnsi="Arial" w:cs="Arial"/>
        </w:rPr>
        <w:t xml:space="preserve"> Zie A-G Spier in zijn conclusie 5.31.1.</w:t>
      </w:r>
    </w:p>
  </w:endnote>
  <w:endnote w:id="9">
    <w:p w:rsidR="00786A7B" w:rsidRPr="00516D9F" w:rsidRDefault="00786A7B" w:rsidP="00612E6B">
      <w:pPr>
        <w:pStyle w:val="Eindnoottekst"/>
        <w:contextualSpacing/>
        <w:rPr>
          <w:rFonts w:ascii="Arial" w:hAnsi="Arial" w:cs="Arial"/>
        </w:rPr>
      </w:pPr>
      <w:r w:rsidRPr="00516D9F">
        <w:rPr>
          <w:rStyle w:val="Eindnootmarkering"/>
          <w:rFonts w:ascii="Arial" w:hAnsi="Arial" w:cs="Arial"/>
        </w:rPr>
        <w:endnoteRef/>
      </w:r>
      <w:r w:rsidRPr="00516D9F">
        <w:rPr>
          <w:rFonts w:ascii="Arial" w:hAnsi="Arial" w:cs="Arial"/>
        </w:rPr>
        <w:t xml:space="preserve"> Zie A-G Spier in zijn conclusie 3.6.3.</w:t>
      </w:r>
    </w:p>
  </w:endnote>
  <w:endnote w:id="10">
    <w:p w:rsidR="00786A7B" w:rsidRPr="00516D9F" w:rsidRDefault="00786A7B" w:rsidP="00612E6B">
      <w:pPr>
        <w:pStyle w:val="Eindnoottekst"/>
        <w:contextualSpacing/>
        <w:rPr>
          <w:rFonts w:ascii="Arial" w:hAnsi="Arial" w:cs="Arial"/>
        </w:rPr>
      </w:pPr>
      <w:r w:rsidRPr="00516D9F">
        <w:rPr>
          <w:rStyle w:val="Eindnootmarkering"/>
          <w:rFonts w:ascii="Arial" w:hAnsi="Arial" w:cs="Arial"/>
        </w:rPr>
        <w:endnoteRef/>
      </w:r>
      <w:r w:rsidRPr="00516D9F">
        <w:rPr>
          <w:rFonts w:ascii="Arial" w:hAnsi="Arial" w:cs="Arial"/>
        </w:rPr>
        <w:t xml:space="preserve"> Met de kanttekening dat de Hoge Raad mogelijk ruimte heeft gelaten voor een uitzonderingssituatie (zie ook eindnoot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48" w:rsidRDefault="008E4E48" w:rsidP="000236D5">
      <w:pPr>
        <w:spacing w:after="0" w:line="240" w:lineRule="auto"/>
      </w:pPr>
      <w:r>
        <w:separator/>
      </w:r>
    </w:p>
  </w:footnote>
  <w:footnote w:type="continuationSeparator" w:id="0">
    <w:p w:rsidR="008E4E48" w:rsidRDefault="008E4E48" w:rsidP="00023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A7B" w:rsidRPr="00ED53FA" w:rsidRDefault="00786A7B" w:rsidP="00ED53FA">
    <w:pPr>
      <w:pStyle w:val="Koptekst"/>
      <w:jc w:val="right"/>
      <w:rPr>
        <w:rFonts w:ascii="Arial" w:hAnsi="Arial" w:cs="Arial"/>
        <w:b/>
        <w:sz w:val="16"/>
        <w:szCs w:val="16"/>
      </w:rPr>
    </w:pPr>
    <w:r>
      <w:rPr>
        <w:rFonts w:ascii="Arial" w:hAnsi="Arial" w:cs="Arial"/>
        <w:b/>
        <w:sz w:val="16"/>
        <w:szCs w:val="16"/>
      </w:rPr>
      <w:t>2061 w. = 3 ¼ 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21"/>
    <w:rsid w:val="00001149"/>
    <w:rsid w:val="00005ABD"/>
    <w:rsid w:val="000061D4"/>
    <w:rsid w:val="0001045B"/>
    <w:rsid w:val="00015116"/>
    <w:rsid w:val="00016A5E"/>
    <w:rsid w:val="00017162"/>
    <w:rsid w:val="000177B4"/>
    <w:rsid w:val="000204D0"/>
    <w:rsid w:val="00020551"/>
    <w:rsid w:val="00020E65"/>
    <w:rsid w:val="00021512"/>
    <w:rsid w:val="00021C9A"/>
    <w:rsid w:val="00023436"/>
    <w:rsid w:val="000236D5"/>
    <w:rsid w:val="00027E71"/>
    <w:rsid w:val="00032341"/>
    <w:rsid w:val="00032E38"/>
    <w:rsid w:val="00033060"/>
    <w:rsid w:val="00041C5C"/>
    <w:rsid w:val="00045BD5"/>
    <w:rsid w:val="000471CF"/>
    <w:rsid w:val="000474AD"/>
    <w:rsid w:val="000503D0"/>
    <w:rsid w:val="00061786"/>
    <w:rsid w:val="000632E6"/>
    <w:rsid w:val="0007032E"/>
    <w:rsid w:val="00075606"/>
    <w:rsid w:val="000802F2"/>
    <w:rsid w:val="0008170B"/>
    <w:rsid w:val="0008324F"/>
    <w:rsid w:val="000900F0"/>
    <w:rsid w:val="00091104"/>
    <w:rsid w:val="000967FC"/>
    <w:rsid w:val="000A0468"/>
    <w:rsid w:val="000A0BEA"/>
    <w:rsid w:val="000A0F72"/>
    <w:rsid w:val="000A13E4"/>
    <w:rsid w:val="000A14A3"/>
    <w:rsid w:val="000A304D"/>
    <w:rsid w:val="000A36F4"/>
    <w:rsid w:val="000A52BE"/>
    <w:rsid w:val="000A602F"/>
    <w:rsid w:val="000B0260"/>
    <w:rsid w:val="000B06F9"/>
    <w:rsid w:val="000B2855"/>
    <w:rsid w:val="000B624E"/>
    <w:rsid w:val="000C0508"/>
    <w:rsid w:val="000C0F3B"/>
    <w:rsid w:val="000C1080"/>
    <w:rsid w:val="000C29A6"/>
    <w:rsid w:val="000C339D"/>
    <w:rsid w:val="000C4BA6"/>
    <w:rsid w:val="000C5836"/>
    <w:rsid w:val="000C5EEC"/>
    <w:rsid w:val="000C5FD0"/>
    <w:rsid w:val="000D51CF"/>
    <w:rsid w:val="000E0E13"/>
    <w:rsid w:val="000E4A19"/>
    <w:rsid w:val="000E6D3A"/>
    <w:rsid w:val="000F19B1"/>
    <w:rsid w:val="000F2308"/>
    <w:rsid w:val="000F4E37"/>
    <w:rsid w:val="000F6040"/>
    <w:rsid w:val="000F736C"/>
    <w:rsid w:val="001007E2"/>
    <w:rsid w:val="00104772"/>
    <w:rsid w:val="0010724F"/>
    <w:rsid w:val="001100FA"/>
    <w:rsid w:val="00111E57"/>
    <w:rsid w:val="00115FD7"/>
    <w:rsid w:val="00117BCF"/>
    <w:rsid w:val="00122F89"/>
    <w:rsid w:val="001247EA"/>
    <w:rsid w:val="00124F25"/>
    <w:rsid w:val="001267A3"/>
    <w:rsid w:val="00127C02"/>
    <w:rsid w:val="00133B8B"/>
    <w:rsid w:val="00133F2E"/>
    <w:rsid w:val="00136219"/>
    <w:rsid w:val="0013713C"/>
    <w:rsid w:val="001371BF"/>
    <w:rsid w:val="001517A6"/>
    <w:rsid w:val="001574CA"/>
    <w:rsid w:val="00161D49"/>
    <w:rsid w:val="00166C85"/>
    <w:rsid w:val="0016720A"/>
    <w:rsid w:val="00171001"/>
    <w:rsid w:val="00177855"/>
    <w:rsid w:val="0018140B"/>
    <w:rsid w:val="001823E5"/>
    <w:rsid w:val="001841D8"/>
    <w:rsid w:val="001867A6"/>
    <w:rsid w:val="00191F9B"/>
    <w:rsid w:val="001924EF"/>
    <w:rsid w:val="00194D48"/>
    <w:rsid w:val="00194E23"/>
    <w:rsid w:val="00197725"/>
    <w:rsid w:val="001A0F5F"/>
    <w:rsid w:val="001A2661"/>
    <w:rsid w:val="001A368C"/>
    <w:rsid w:val="001A4227"/>
    <w:rsid w:val="001A61E7"/>
    <w:rsid w:val="001B414B"/>
    <w:rsid w:val="001B6C9E"/>
    <w:rsid w:val="001B761A"/>
    <w:rsid w:val="001C0F17"/>
    <w:rsid w:val="001C1EDE"/>
    <w:rsid w:val="001C3AC3"/>
    <w:rsid w:val="001C459A"/>
    <w:rsid w:val="001C4B55"/>
    <w:rsid w:val="001C4CE1"/>
    <w:rsid w:val="001C57B4"/>
    <w:rsid w:val="001C7FF0"/>
    <w:rsid w:val="001D12F1"/>
    <w:rsid w:val="001D3FBE"/>
    <w:rsid w:val="001D4B62"/>
    <w:rsid w:val="001D5A69"/>
    <w:rsid w:val="001D60DC"/>
    <w:rsid w:val="001D7E01"/>
    <w:rsid w:val="001E0499"/>
    <w:rsid w:val="001E2B41"/>
    <w:rsid w:val="001E3A54"/>
    <w:rsid w:val="001E496E"/>
    <w:rsid w:val="001E62EE"/>
    <w:rsid w:val="001F15F4"/>
    <w:rsid w:val="001F5AC9"/>
    <w:rsid w:val="001F5D30"/>
    <w:rsid w:val="001F6E48"/>
    <w:rsid w:val="0020093D"/>
    <w:rsid w:val="002038E0"/>
    <w:rsid w:val="00204056"/>
    <w:rsid w:val="00205A0D"/>
    <w:rsid w:val="002076F0"/>
    <w:rsid w:val="00211EF9"/>
    <w:rsid w:val="0021215F"/>
    <w:rsid w:val="00213FF5"/>
    <w:rsid w:val="00215193"/>
    <w:rsid w:val="00217938"/>
    <w:rsid w:val="00221267"/>
    <w:rsid w:val="00227717"/>
    <w:rsid w:val="00230155"/>
    <w:rsid w:val="00230E80"/>
    <w:rsid w:val="002323E3"/>
    <w:rsid w:val="002326E4"/>
    <w:rsid w:val="002331CA"/>
    <w:rsid w:val="00236001"/>
    <w:rsid w:val="002407AB"/>
    <w:rsid w:val="0024226E"/>
    <w:rsid w:val="00242346"/>
    <w:rsid w:val="0024293E"/>
    <w:rsid w:val="0024557A"/>
    <w:rsid w:val="00247C11"/>
    <w:rsid w:val="002501DB"/>
    <w:rsid w:val="0025545E"/>
    <w:rsid w:val="00261367"/>
    <w:rsid w:val="0026294F"/>
    <w:rsid w:val="002646E9"/>
    <w:rsid w:val="00265533"/>
    <w:rsid w:val="00266B80"/>
    <w:rsid w:val="00273EC9"/>
    <w:rsid w:val="00274F33"/>
    <w:rsid w:val="00274F9B"/>
    <w:rsid w:val="00276016"/>
    <w:rsid w:val="00276B10"/>
    <w:rsid w:val="00277144"/>
    <w:rsid w:val="00280371"/>
    <w:rsid w:val="00282750"/>
    <w:rsid w:val="00282FC9"/>
    <w:rsid w:val="00287E86"/>
    <w:rsid w:val="002926B5"/>
    <w:rsid w:val="002929DB"/>
    <w:rsid w:val="002930EA"/>
    <w:rsid w:val="0029661C"/>
    <w:rsid w:val="00296C4B"/>
    <w:rsid w:val="002A2DB8"/>
    <w:rsid w:val="002B31D4"/>
    <w:rsid w:val="002B5350"/>
    <w:rsid w:val="002C1094"/>
    <w:rsid w:val="002C3F72"/>
    <w:rsid w:val="002C4564"/>
    <w:rsid w:val="002D0930"/>
    <w:rsid w:val="002D383F"/>
    <w:rsid w:val="002D3DA9"/>
    <w:rsid w:val="002E0EF5"/>
    <w:rsid w:val="002E1493"/>
    <w:rsid w:val="002E18EC"/>
    <w:rsid w:val="002E4F28"/>
    <w:rsid w:val="002F20BF"/>
    <w:rsid w:val="002F265A"/>
    <w:rsid w:val="002F4C35"/>
    <w:rsid w:val="002F4F05"/>
    <w:rsid w:val="00305B18"/>
    <w:rsid w:val="00306AF1"/>
    <w:rsid w:val="0030723D"/>
    <w:rsid w:val="00307688"/>
    <w:rsid w:val="00311986"/>
    <w:rsid w:val="00312480"/>
    <w:rsid w:val="0031430D"/>
    <w:rsid w:val="003159C1"/>
    <w:rsid w:val="00315BE9"/>
    <w:rsid w:val="00316EDC"/>
    <w:rsid w:val="00317DD0"/>
    <w:rsid w:val="003201B3"/>
    <w:rsid w:val="00323CEC"/>
    <w:rsid w:val="003248FD"/>
    <w:rsid w:val="003253FA"/>
    <w:rsid w:val="00327584"/>
    <w:rsid w:val="003308FE"/>
    <w:rsid w:val="00332323"/>
    <w:rsid w:val="003346C3"/>
    <w:rsid w:val="00337D5C"/>
    <w:rsid w:val="0034103B"/>
    <w:rsid w:val="00353DA1"/>
    <w:rsid w:val="0035674F"/>
    <w:rsid w:val="00360639"/>
    <w:rsid w:val="00361F5C"/>
    <w:rsid w:val="003627F7"/>
    <w:rsid w:val="00365E9B"/>
    <w:rsid w:val="003672AF"/>
    <w:rsid w:val="0037176E"/>
    <w:rsid w:val="00382491"/>
    <w:rsid w:val="0038256F"/>
    <w:rsid w:val="00383F35"/>
    <w:rsid w:val="00384E22"/>
    <w:rsid w:val="00387537"/>
    <w:rsid w:val="00391000"/>
    <w:rsid w:val="00392A2F"/>
    <w:rsid w:val="00393721"/>
    <w:rsid w:val="0039542F"/>
    <w:rsid w:val="00395670"/>
    <w:rsid w:val="003A46AF"/>
    <w:rsid w:val="003A5E4A"/>
    <w:rsid w:val="003A60CD"/>
    <w:rsid w:val="003B0887"/>
    <w:rsid w:val="003B36CF"/>
    <w:rsid w:val="003B64F1"/>
    <w:rsid w:val="003C0B65"/>
    <w:rsid w:val="003C182D"/>
    <w:rsid w:val="003C3BCD"/>
    <w:rsid w:val="003C5C02"/>
    <w:rsid w:val="003D0D14"/>
    <w:rsid w:val="003D31EC"/>
    <w:rsid w:val="003D3388"/>
    <w:rsid w:val="003E00BB"/>
    <w:rsid w:val="003E3E65"/>
    <w:rsid w:val="003E4548"/>
    <w:rsid w:val="003E6227"/>
    <w:rsid w:val="003F04AB"/>
    <w:rsid w:val="003F7770"/>
    <w:rsid w:val="0040224B"/>
    <w:rsid w:val="0040410F"/>
    <w:rsid w:val="00410A86"/>
    <w:rsid w:val="004113EF"/>
    <w:rsid w:val="0041414E"/>
    <w:rsid w:val="00417A20"/>
    <w:rsid w:val="00420369"/>
    <w:rsid w:val="004206E9"/>
    <w:rsid w:val="004217C4"/>
    <w:rsid w:val="00423AFE"/>
    <w:rsid w:val="00423DFD"/>
    <w:rsid w:val="0042439A"/>
    <w:rsid w:val="0043040A"/>
    <w:rsid w:val="0043228D"/>
    <w:rsid w:val="00436A2B"/>
    <w:rsid w:val="0045022F"/>
    <w:rsid w:val="00450A20"/>
    <w:rsid w:val="004518E3"/>
    <w:rsid w:val="00451D67"/>
    <w:rsid w:val="0045232A"/>
    <w:rsid w:val="00452D93"/>
    <w:rsid w:val="00452DD9"/>
    <w:rsid w:val="00461DF6"/>
    <w:rsid w:val="00463330"/>
    <w:rsid w:val="00464964"/>
    <w:rsid w:val="00471B36"/>
    <w:rsid w:val="00471E79"/>
    <w:rsid w:val="00474385"/>
    <w:rsid w:val="00484E97"/>
    <w:rsid w:val="004901CD"/>
    <w:rsid w:val="00493CA7"/>
    <w:rsid w:val="00494BEF"/>
    <w:rsid w:val="00497877"/>
    <w:rsid w:val="004A1702"/>
    <w:rsid w:val="004A2130"/>
    <w:rsid w:val="004A5C7A"/>
    <w:rsid w:val="004A7E65"/>
    <w:rsid w:val="004B05CC"/>
    <w:rsid w:val="004B5FCD"/>
    <w:rsid w:val="004B730B"/>
    <w:rsid w:val="004B7388"/>
    <w:rsid w:val="004C158E"/>
    <w:rsid w:val="004C2574"/>
    <w:rsid w:val="004C3972"/>
    <w:rsid w:val="004C5234"/>
    <w:rsid w:val="004C5368"/>
    <w:rsid w:val="004C7202"/>
    <w:rsid w:val="004C73C0"/>
    <w:rsid w:val="004D145A"/>
    <w:rsid w:val="004D306B"/>
    <w:rsid w:val="004D451D"/>
    <w:rsid w:val="004D6CDB"/>
    <w:rsid w:val="004E21DF"/>
    <w:rsid w:val="004E5E20"/>
    <w:rsid w:val="004E77C4"/>
    <w:rsid w:val="004F2726"/>
    <w:rsid w:val="004F474B"/>
    <w:rsid w:val="004F5652"/>
    <w:rsid w:val="00500E92"/>
    <w:rsid w:val="0050103D"/>
    <w:rsid w:val="00501745"/>
    <w:rsid w:val="00512134"/>
    <w:rsid w:val="00513DD4"/>
    <w:rsid w:val="00515B68"/>
    <w:rsid w:val="00516570"/>
    <w:rsid w:val="00516D9F"/>
    <w:rsid w:val="00516EF4"/>
    <w:rsid w:val="005202C2"/>
    <w:rsid w:val="00521B45"/>
    <w:rsid w:val="00521BAE"/>
    <w:rsid w:val="0052360A"/>
    <w:rsid w:val="00524A21"/>
    <w:rsid w:val="00526586"/>
    <w:rsid w:val="00526EAE"/>
    <w:rsid w:val="0052723E"/>
    <w:rsid w:val="00534276"/>
    <w:rsid w:val="0053598E"/>
    <w:rsid w:val="00541F20"/>
    <w:rsid w:val="005423DF"/>
    <w:rsid w:val="0054463B"/>
    <w:rsid w:val="005448A7"/>
    <w:rsid w:val="00547C88"/>
    <w:rsid w:val="005501AF"/>
    <w:rsid w:val="005506AC"/>
    <w:rsid w:val="00551446"/>
    <w:rsid w:val="0055659B"/>
    <w:rsid w:val="00557333"/>
    <w:rsid w:val="005603C6"/>
    <w:rsid w:val="0056479F"/>
    <w:rsid w:val="00566E40"/>
    <w:rsid w:val="005673AC"/>
    <w:rsid w:val="00570F1B"/>
    <w:rsid w:val="0057315A"/>
    <w:rsid w:val="00573D07"/>
    <w:rsid w:val="00573FE9"/>
    <w:rsid w:val="00580981"/>
    <w:rsid w:val="00582E13"/>
    <w:rsid w:val="00585923"/>
    <w:rsid w:val="0058600D"/>
    <w:rsid w:val="00591C70"/>
    <w:rsid w:val="005A24C7"/>
    <w:rsid w:val="005A736F"/>
    <w:rsid w:val="005B0CC9"/>
    <w:rsid w:val="005B5604"/>
    <w:rsid w:val="005B6C9E"/>
    <w:rsid w:val="005C123B"/>
    <w:rsid w:val="005C1D63"/>
    <w:rsid w:val="005C408C"/>
    <w:rsid w:val="005C5A57"/>
    <w:rsid w:val="005C7544"/>
    <w:rsid w:val="005D28DE"/>
    <w:rsid w:val="005D7723"/>
    <w:rsid w:val="005D78CD"/>
    <w:rsid w:val="005E2686"/>
    <w:rsid w:val="005E5BD1"/>
    <w:rsid w:val="005E6842"/>
    <w:rsid w:val="005E7667"/>
    <w:rsid w:val="005F2B84"/>
    <w:rsid w:val="005F2C6C"/>
    <w:rsid w:val="005F50A1"/>
    <w:rsid w:val="005F55EE"/>
    <w:rsid w:val="00601966"/>
    <w:rsid w:val="006046B2"/>
    <w:rsid w:val="0060674F"/>
    <w:rsid w:val="00610551"/>
    <w:rsid w:val="00612E6B"/>
    <w:rsid w:val="00614769"/>
    <w:rsid w:val="0061562D"/>
    <w:rsid w:val="006209EE"/>
    <w:rsid w:val="006254DF"/>
    <w:rsid w:val="00625FAF"/>
    <w:rsid w:val="0062790C"/>
    <w:rsid w:val="0063013B"/>
    <w:rsid w:val="00630EF9"/>
    <w:rsid w:val="00633244"/>
    <w:rsid w:val="00635A00"/>
    <w:rsid w:val="00636024"/>
    <w:rsid w:val="00637EC0"/>
    <w:rsid w:val="006401BB"/>
    <w:rsid w:val="00643DCB"/>
    <w:rsid w:val="006522B5"/>
    <w:rsid w:val="00653947"/>
    <w:rsid w:val="006541FE"/>
    <w:rsid w:val="00654ABD"/>
    <w:rsid w:val="00666362"/>
    <w:rsid w:val="00666E91"/>
    <w:rsid w:val="0066765E"/>
    <w:rsid w:val="00671631"/>
    <w:rsid w:val="0067692A"/>
    <w:rsid w:val="006776F7"/>
    <w:rsid w:val="00680EB4"/>
    <w:rsid w:val="006813B4"/>
    <w:rsid w:val="006821E1"/>
    <w:rsid w:val="0068236E"/>
    <w:rsid w:val="0068434A"/>
    <w:rsid w:val="006849F6"/>
    <w:rsid w:val="0068615C"/>
    <w:rsid w:val="00690F26"/>
    <w:rsid w:val="006934A6"/>
    <w:rsid w:val="006944EB"/>
    <w:rsid w:val="006959CB"/>
    <w:rsid w:val="00697648"/>
    <w:rsid w:val="006A0DD9"/>
    <w:rsid w:val="006A248A"/>
    <w:rsid w:val="006A6A3B"/>
    <w:rsid w:val="006A7BB8"/>
    <w:rsid w:val="006A7C1B"/>
    <w:rsid w:val="006B1B5C"/>
    <w:rsid w:val="006B36D4"/>
    <w:rsid w:val="006C1564"/>
    <w:rsid w:val="006C16DB"/>
    <w:rsid w:val="006C32E5"/>
    <w:rsid w:val="006C3DA8"/>
    <w:rsid w:val="006C7CC9"/>
    <w:rsid w:val="006D4722"/>
    <w:rsid w:val="006D548B"/>
    <w:rsid w:val="006E0F2A"/>
    <w:rsid w:val="006E171D"/>
    <w:rsid w:val="006E1831"/>
    <w:rsid w:val="006E21F7"/>
    <w:rsid w:val="006E3B36"/>
    <w:rsid w:val="006E616E"/>
    <w:rsid w:val="006F02A7"/>
    <w:rsid w:val="006F2498"/>
    <w:rsid w:val="006F6817"/>
    <w:rsid w:val="006F7D49"/>
    <w:rsid w:val="00700355"/>
    <w:rsid w:val="0070171D"/>
    <w:rsid w:val="00701AC9"/>
    <w:rsid w:val="00702638"/>
    <w:rsid w:val="007031A9"/>
    <w:rsid w:val="00704D9A"/>
    <w:rsid w:val="007079B3"/>
    <w:rsid w:val="00710CEC"/>
    <w:rsid w:val="00712385"/>
    <w:rsid w:val="00714A71"/>
    <w:rsid w:val="00714CAD"/>
    <w:rsid w:val="007220B5"/>
    <w:rsid w:val="00724F68"/>
    <w:rsid w:val="007258C4"/>
    <w:rsid w:val="00726D83"/>
    <w:rsid w:val="00727E44"/>
    <w:rsid w:val="00730DE3"/>
    <w:rsid w:val="00731BF6"/>
    <w:rsid w:val="00742251"/>
    <w:rsid w:val="00743A45"/>
    <w:rsid w:val="00750AAC"/>
    <w:rsid w:val="0075156C"/>
    <w:rsid w:val="007522E6"/>
    <w:rsid w:val="00753148"/>
    <w:rsid w:val="0075404F"/>
    <w:rsid w:val="0075470C"/>
    <w:rsid w:val="00755306"/>
    <w:rsid w:val="00755645"/>
    <w:rsid w:val="00756BDE"/>
    <w:rsid w:val="00761F34"/>
    <w:rsid w:val="00762C00"/>
    <w:rsid w:val="00763700"/>
    <w:rsid w:val="00764C19"/>
    <w:rsid w:val="0076655F"/>
    <w:rsid w:val="00766583"/>
    <w:rsid w:val="00767CE8"/>
    <w:rsid w:val="00767F27"/>
    <w:rsid w:val="00780C67"/>
    <w:rsid w:val="00782506"/>
    <w:rsid w:val="00783D77"/>
    <w:rsid w:val="00786A7B"/>
    <w:rsid w:val="0079152A"/>
    <w:rsid w:val="007950D1"/>
    <w:rsid w:val="0079646E"/>
    <w:rsid w:val="007A279B"/>
    <w:rsid w:val="007A3645"/>
    <w:rsid w:val="007B02D5"/>
    <w:rsid w:val="007B316E"/>
    <w:rsid w:val="007B5477"/>
    <w:rsid w:val="007B7F26"/>
    <w:rsid w:val="007C77D0"/>
    <w:rsid w:val="007D0552"/>
    <w:rsid w:val="007D0A8B"/>
    <w:rsid w:val="007D17EE"/>
    <w:rsid w:val="007D4993"/>
    <w:rsid w:val="007D7701"/>
    <w:rsid w:val="007E124F"/>
    <w:rsid w:val="007E249D"/>
    <w:rsid w:val="007E249E"/>
    <w:rsid w:val="007E7D76"/>
    <w:rsid w:val="007F47D6"/>
    <w:rsid w:val="007F5832"/>
    <w:rsid w:val="007F71B8"/>
    <w:rsid w:val="007F720B"/>
    <w:rsid w:val="008001C2"/>
    <w:rsid w:val="008107F4"/>
    <w:rsid w:val="008112F9"/>
    <w:rsid w:val="00812949"/>
    <w:rsid w:val="00814AAE"/>
    <w:rsid w:val="008156C1"/>
    <w:rsid w:val="00820F33"/>
    <w:rsid w:val="00822793"/>
    <w:rsid w:val="008230C2"/>
    <w:rsid w:val="008249C9"/>
    <w:rsid w:val="0082635A"/>
    <w:rsid w:val="00830A33"/>
    <w:rsid w:val="00831482"/>
    <w:rsid w:val="0083633E"/>
    <w:rsid w:val="008378ED"/>
    <w:rsid w:val="00837A81"/>
    <w:rsid w:val="00841AF6"/>
    <w:rsid w:val="0084220D"/>
    <w:rsid w:val="00852556"/>
    <w:rsid w:val="0085466E"/>
    <w:rsid w:val="008609C5"/>
    <w:rsid w:val="00863170"/>
    <w:rsid w:val="0087000E"/>
    <w:rsid w:val="008734E1"/>
    <w:rsid w:val="00875D67"/>
    <w:rsid w:val="0087614A"/>
    <w:rsid w:val="00876F63"/>
    <w:rsid w:val="00877131"/>
    <w:rsid w:val="008803FA"/>
    <w:rsid w:val="00882D84"/>
    <w:rsid w:val="00884C87"/>
    <w:rsid w:val="00885A47"/>
    <w:rsid w:val="00891E1F"/>
    <w:rsid w:val="00892A8A"/>
    <w:rsid w:val="008958D1"/>
    <w:rsid w:val="00896E05"/>
    <w:rsid w:val="008A1A6A"/>
    <w:rsid w:val="008A304E"/>
    <w:rsid w:val="008A3748"/>
    <w:rsid w:val="008A3835"/>
    <w:rsid w:val="008A3ECB"/>
    <w:rsid w:val="008A618F"/>
    <w:rsid w:val="008A6730"/>
    <w:rsid w:val="008A6E0B"/>
    <w:rsid w:val="008B0D40"/>
    <w:rsid w:val="008B6F8B"/>
    <w:rsid w:val="008C3CAD"/>
    <w:rsid w:val="008C470A"/>
    <w:rsid w:val="008D03EA"/>
    <w:rsid w:val="008D049A"/>
    <w:rsid w:val="008D54C3"/>
    <w:rsid w:val="008D5F2C"/>
    <w:rsid w:val="008E3D9C"/>
    <w:rsid w:val="008E4E48"/>
    <w:rsid w:val="008F0C4E"/>
    <w:rsid w:val="008F21EC"/>
    <w:rsid w:val="008F53CA"/>
    <w:rsid w:val="008F564A"/>
    <w:rsid w:val="00903F80"/>
    <w:rsid w:val="00905866"/>
    <w:rsid w:val="009121B7"/>
    <w:rsid w:val="009147B0"/>
    <w:rsid w:val="009148ED"/>
    <w:rsid w:val="00914D5C"/>
    <w:rsid w:val="00915AA2"/>
    <w:rsid w:val="00916712"/>
    <w:rsid w:val="00917144"/>
    <w:rsid w:val="009210E8"/>
    <w:rsid w:val="0092183F"/>
    <w:rsid w:val="00925D58"/>
    <w:rsid w:val="00927442"/>
    <w:rsid w:val="00927514"/>
    <w:rsid w:val="0093133C"/>
    <w:rsid w:val="009316E1"/>
    <w:rsid w:val="00931B28"/>
    <w:rsid w:val="009331DF"/>
    <w:rsid w:val="00941159"/>
    <w:rsid w:val="00941207"/>
    <w:rsid w:val="00943467"/>
    <w:rsid w:val="00944725"/>
    <w:rsid w:val="00945528"/>
    <w:rsid w:val="00947D71"/>
    <w:rsid w:val="00953996"/>
    <w:rsid w:val="00954605"/>
    <w:rsid w:val="00960A88"/>
    <w:rsid w:val="009648B2"/>
    <w:rsid w:val="00967986"/>
    <w:rsid w:val="00971713"/>
    <w:rsid w:val="0097239B"/>
    <w:rsid w:val="0097254F"/>
    <w:rsid w:val="00973FC1"/>
    <w:rsid w:val="00975385"/>
    <w:rsid w:val="00981C9A"/>
    <w:rsid w:val="00984B43"/>
    <w:rsid w:val="00984D6A"/>
    <w:rsid w:val="00985B18"/>
    <w:rsid w:val="00990C5B"/>
    <w:rsid w:val="00992F58"/>
    <w:rsid w:val="00997B5B"/>
    <w:rsid w:val="009A042B"/>
    <w:rsid w:val="009A11EE"/>
    <w:rsid w:val="009A15EF"/>
    <w:rsid w:val="009A4D87"/>
    <w:rsid w:val="009A664B"/>
    <w:rsid w:val="009B14C7"/>
    <w:rsid w:val="009B3F93"/>
    <w:rsid w:val="009B61E1"/>
    <w:rsid w:val="009C0BC6"/>
    <w:rsid w:val="009C236C"/>
    <w:rsid w:val="009C348F"/>
    <w:rsid w:val="009C43F4"/>
    <w:rsid w:val="009D0DD6"/>
    <w:rsid w:val="009D1930"/>
    <w:rsid w:val="009D3425"/>
    <w:rsid w:val="009D6E76"/>
    <w:rsid w:val="009D7176"/>
    <w:rsid w:val="009E3710"/>
    <w:rsid w:val="009E460D"/>
    <w:rsid w:val="009F066A"/>
    <w:rsid w:val="009F3CC7"/>
    <w:rsid w:val="009F6E43"/>
    <w:rsid w:val="00A0024A"/>
    <w:rsid w:val="00A002B2"/>
    <w:rsid w:val="00A003C0"/>
    <w:rsid w:val="00A069B7"/>
    <w:rsid w:val="00A1325E"/>
    <w:rsid w:val="00A13E56"/>
    <w:rsid w:val="00A14FC2"/>
    <w:rsid w:val="00A15287"/>
    <w:rsid w:val="00A1576E"/>
    <w:rsid w:val="00A15F63"/>
    <w:rsid w:val="00A23A42"/>
    <w:rsid w:val="00A23EF8"/>
    <w:rsid w:val="00A25B73"/>
    <w:rsid w:val="00A32994"/>
    <w:rsid w:val="00A444E9"/>
    <w:rsid w:val="00A45D0C"/>
    <w:rsid w:val="00A46681"/>
    <w:rsid w:val="00A50177"/>
    <w:rsid w:val="00A62FCF"/>
    <w:rsid w:val="00A674D8"/>
    <w:rsid w:val="00A67D18"/>
    <w:rsid w:val="00A708B5"/>
    <w:rsid w:val="00A70FCA"/>
    <w:rsid w:val="00A71392"/>
    <w:rsid w:val="00A7207B"/>
    <w:rsid w:val="00A753E9"/>
    <w:rsid w:val="00A75D69"/>
    <w:rsid w:val="00A775F6"/>
    <w:rsid w:val="00A83F8A"/>
    <w:rsid w:val="00A86907"/>
    <w:rsid w:val="00A86FCA"/>
    <w:rsid w:val="00A90043"/>
    <w:rsid w:val="00A91E90"/>
    <w:rsid w:val="00A93DD9"/>
    <w:rsid w:val="00A94D49"/>
    <w:rsid w:val="00AA0AEB"/>
    <w:rsid w:val="00AA2598"/>
    <w:rsid w:val="00AA285E"/>
    <w:rsid w:val="00AA29AF"/>
    <w:rsid w:val="00AA49FB"/>
    <w:rsid w:val="00AA56B8"/>
    <w:rsid w:val="00AB24F2"/>
    <w:rsid w:val="00AB3E1A"/>
    <w:rsid w:val="00AB48B9"/>
    <w:rsid w:val="00AC336F"/>
    <w:rsid w:val="00AC44FE"/>
    <w:rsid w:val="00AC4916"/>
    <w:rsid w:val="00AD01C6"/>
    <w:rsid w:val="00AD039A"/>
    <w:rsid w:val="00AD12C2"/>
    <w:rsid w:val="00AD5A64"/>
    <w:rsid w:val="00AD79F8"/>
    <w:rsid w:val="00AE012E"/>
    <w:rsid w:val="00AE065C"/>
    <w:rsid w:val="00AE2340"/>
    <w:rsid w:val="00AE2679"/>
    <w:rsid w:val="00AE327C"/>
    <w:rsid w:val="00AF3330"/>
    <w:rsid w:val="00AF40DA"/>
    <w:rsid w:val="00AF5E89"/>
    <w:rsid w:val="00AF62CE"/>
    <w:rsid w:val="00B0382F"/>
    <w:rsid w:val="00B044C9"/>
    <w:rsid w:val="00B1311E"/>
    <w:rsid w:val="00B13C67"/>
    <w:rsid w:val="00B13F61"/>
    <w:rsid w:val="00B158BE"/>
    <w:rsid w:val="00B15F7E"/>
    <w:rsid w:val="00B25630"/>
    <w:rsid w:val="00B264DE"/>
    <w:rsid w:val="00B26E41"/>
    <w:rsid w:val="00B31E86"/>
    <w:rsid w:val="00B33A28"/>
    <w:rsid w:val="00B34DAC"/>
    <w:rsid w:val="00B35936"/>
    <w:rsid w:val="00B368D4"/>
    <w:rsid w:val="00B37BAC"/>
    <w:rsid w:val="00B41B0A"/>
    <w:rsid w:val="00B423C8"/>
    <w:rsid w:val="00B43081"/>
    <w:rsid w:val="00B435CF"/>
    <w:rsid w:val="00B45C4A"/>
    <w:rsid w:val="00B4733A"/>
    <w:rsid w:val="00B51117"/>
    <w:rsid w:val="00B515C8"/>
    <w:rsid w:val="00B52741"/>
    <w:rsid w:val="00B52ED9"/>
    <w:rsid w:val="00B53623"/>
    <w:rsid w:val="00B55E86"/>
    <w:rsid w:val="00B61D7B"/>
    <w:rsid w:val="00B64B19"/>
    <w:rsid w:val="00B6600C"/>
    <w:rsid w:val="00B66295"/>
    <w:rsid w:val="00B7313B"/>
    <w:rsid w:val="00B763BC"/>
    <w:rsid w:val="00B76834"/>
    <w:rsid w:val="00B76CBF"/>
    <w:rsid w:val="00B80275"/>
    <w:rsid w:val="00B815B5"/>
    <w:rsid w:val="00B822E5"/>
    <w:rsid w:val="00B8628C"/>
    <w:rsid w:val="00B92656"/>
    <w:rsid w:val="00B9560C"/>
    <w:rsid w:val="00B959DD"/>
    <w:rsid w:val="00B97087"/>
    <w:rsid w:val="00B977AF"/>
    <w:rsid w:val="00BA1177"/>
    <w:rsid w:val="00BA34CD"/>
    <w:rsid w:val="00BA55E2"/>
    <w:rsid w:val="00BB034E"/>
    <w:rsid w:val="00BB2327"/>
    <w:rsid w:val="00BB2C13"/>
    <w:rsid w:val="00BB2DC8"/>
    <w:rsid w:val="00BB748A"/>
    <w:rsid w:val="00BC377B"/>
    <w:rsid w:val="00BC568C"/>
    <w:rsid w:val="00BC5A7B"/>
    <w:rsid w:val="00BD259F"/>
    <w:rsid w:val="00BD3E22"/>
    <w:rsid w:val="00BD4EC1"/>
    <w:rsid w:val="00BD7679"/>
    <w:rsid w:val="00BE0CE8"/>
    <w:rsid w:val="00BE2215"/>
    <w:rsid w:val="00BE31B4"/>
    <w:rsid w:val="00BE394E"/>
    <w:rsid w:val="00BE6841"/>
    <w:rsid w:val="00BF4039"/>
    <w:rsid w:val="00BF5445"/>
    <w:rsid w:val="00BF733C"/>
    <w:rsid w:val="00C0345F"/>
    <w:rsid w:val="00C0442B"/>
    <w:rsid w:val="00C123AE"/>
    <w:rsid w:val="00C16B19"/>
    <w:rsid w:val="00C16B51"/>
    <w:rsid w:val="00C17610"/>
    <w:rsid w:val="00C20732"/>
    <w:rsid w:val="00C20792"/>
    <w:rsid w:val="00C231CA"/>
    <w:rsid w:val="00C24568"/>
    <w:rsid w:val="00C27AE1"/>
    <w:rsid w:val="00C34E9C"/>
    <w:rsid w:val="00C35A28"/>
    <w:rsid w:val="00C40321"/>
    <w:rsid w:val="00C421D2"/>
    <w:rsid w:val="00C4304C"/>
    <w:rsid w:val="00C4316B"/>
    <w:rsid w:val="00C44E3F"/>
    <w:rsid w:val="00C46979"/>
    <w:rsid w:val="00C47393"/>
    <w:rsid w:val="00C509E3"/>
    <w:rsid w:val="00C517EA"/>
    <w:rsid w:val="00C55451"/>
    <w:rsid w:val="00C56C32"/>
    <w:rsid w:val="00C6157F"/>
    <w:rsid w:val="00C62775"/>
    <w:rsid w:val="00C64070"/>
    <w:rsid w:val="00C6564D"/>
    <w:rsid w:val="00C65E2F"/>
    <w:rsid w:val="00C66458"/>
    <w:rsid w:val="00C71FC2"/>
    <w:rsid w:val="00C72077"/>
    <w:rsid w:val="00C72FDC"/>
    <w:rsid w:val="00C7380F"/>
    <w:rsid w:val="00C74E0C"/>
    <w:rsid w:val="00C80385"/>
    <w:rsid w:val="00C8348D"/>
    <w:rsid w:val="00C84510"/>
    <w:rsid w:val="00C8504C"/>
    <w:rsid w:val="00C86FA0"/>
    <w:rsid w:val="00C92C16"/>
    <w:rsid w:val="00CA0C7C"/>
    <w:rsid w:val="00CA0F3F"/>
    <w:rsid w:val="00CA2578"/>
    <w:rsid w:val="00CA3B5E"/>
    <w:rsid w:val="00CA584C"/>
    <w:rsid w:val="00CA5E75"/>
    <w:rsid w:val="00CA7E6A"/>
    <w:rsid w:val="00CB26C4"/>
    <w:rsid w:val="00CB3D05"/>
    <w:rsid w:val="00CC2419"/>
    <w:rsid w:val="00CC3062"/>
    <w:rsid w:val="00CC3A02"/>
    <w:rsid w:val="00CD0465"/>
    <w:rsid w:val="00CD1BC7"/>
    <w:rsid w:val="00CD1C9F"/>
    <w:rsid w:val="00CD23DF"/>
    <w:rsid w:val="00CD3BB1"/>
    <w:rsid w:val="00CD3C31"/>
    <w:rsid w:val="00CD5560"/>
    <w:rsid w:val="00CD7CA2"/>
    <w:rsid w:val="00CE36E2"/>
    <w:rsid w:val="00CE3EF7"/>
    <w:rsid w:val="00CE6098"/>
    <w:rsid w:val="00CF2FD2"/>
    <w:rsid w:val="00CF495B"/>
    <w:rsid w:val="00CF642C"/>
    <w:rsid w:val="00CF720A"/>
    <w:rsid w:val="00D015B2"/>
    <w:rsid w:val="00D02EDA"/>
    <w:rsid w:val="00D07565"/>
    <w:rsid w:val="00D1002A"/>
    <w:rsid w:val="00D10359"/>
    <w:rsid w:val="00D106CE"/>
    <w:rsid w:val="00D13845"/>
    <w:rsid w:val="00D13BC8"/>
    <w:rsid w:val="00D20FB0"/>
    <w:rsid w:val="00D24233"/>
    <w:rsid w:val="00D24423"/>
    <w:rsid w:val="00D25027"/>
    <w:rsid w:val="00D3572B"/>
    <w:rsid w:val="00D417C8"/>
    <w:rsid w:val="00D41A34"/>
    <w:rsid w:val="00D443A3"/>
    <w:rsid w:val="00D45DAC"/>
    <w:rsid w:val="00D5057C"/>
    <w:rsid w:val="00D523FD"/>
    <w:rsid w:val="00D546A2"/>
    <w:rsid w:val="00D56F88"/>
    <w:rsid w:val="00D61FAD"/>
    <w:rsid w:val="00D62BF1"/>
    <w:rsid w:val="00D63F3D"/>
    <w:rsid w:val="00D67571"/>
    <w:rsid w:val="00D71748"/>
    <w:rsid w:val="00D72261"/>
    <w:rsid w:val="00D73689"/>
    <w:rsid w:val="00D73DA7"/>
    <w:rsid w:val="00D75F3B"/>
    <w:rsid w:val="00D761CC"/>
    <w:rsid w:val="00D76E02"/>
    <w:rsid w:val="00D80A2B"/>
    <w:rsid w:val="00D857E1"/>
    <w:rsid w:val="00D86A3D"/>
    <w:rsid w:val="00D87A57"/>
    <w:rsid w:val="00D87E72"/>
    <w:rsid w:val="00D91C6F"/>
    <w:rsid w:val="00D959DA"/>
    <w:rsid w:val="00DA0112"/>
    <w:rsid w:val="00DA2021"/>
    <w:rsid w:val="00DA3E46"/>
    <w:rsid w:val="00DA4560"/>
    <w:rsid w:val="00DA4E6C"/>
    <w:rsid w:val="00DA4E8F"/>
    <w:rsid w:val="00DB6632"/>
    <w:rsid w:val="00DC3E63"/>
    <w:rsid w:val="00DC3EFC"/>
    <w:rsid w:val="00DC5A34"/>
    <w:rsid w:val="00DC5F45"/>
    <w:rsid w:val="00DD1DFA"/>
    <w:rsid w:val="00DD2298"/>
    <w:rsid w:val="00DD3456"/>
    <w:rsid w:val="00DD385C"/>
    <w:rsid w:val="00DD6810"/>
    <w:rsid w:val="00DE3A70"/>
    <w:rsid w:val="00DE58C5"/>
    <w:rsid w:val="00DF0DCD"/>
    <w:rsid w:val="00DF1B1B"/>
    <w:rsid w:val="00DF741C"/>
    <w:rsid w:val="00DF787C"/>
    <w:rsid w:val="00E00618"/>
    <w:rsid w:val="00E046FF"/>
    <w:rsid w:val="00E161FC"/>
    <w:rsid w:val="00E21A40"/>
    <w:rsid w:val="00E22A29"/>
    <w:rsid w:val="00E278EF"/>
    <w:rsid w:val="00E4058D"/>
    <w:rsid w:val="00E41380"/>
    <w:rsid w:val="00E4493F"/>
    <w:rsid w:val="00E44ADF"/>
    <w:rsid w:val="00E47EC8"/>
    <w:rsid w:val="00E54907"/>
    <w:rsid w:val="00E5679C"/>
    <w:rsid w:val="00E60812"/>
    <w:rsid w:val="00E624D9"/>
    <w:rsid w:val="00E634D8"/>
    <w:rsid w:val="00E64D8C"/>
    <w:rsid w:val="00E65221"/>
    <w:rsid w:val="00E657AA"/>
    <w:rsid w:val="00E70BFA"/>
    <w:rsid w:val="00E72E6B"/>
    <w:rsid w:val="00E73655"/>
    <w:rsid w:val="00E73D55"/>
    <w:rsid w:val="00E81D18"/>
    <w:rsid w:val="00E82A5A"/>
    <w:rsid w:val="00E83778"/>
    <w:rsid w:val="00E84CEB"/>
    <w:rsid w:val="00E90052"/>
    <w:rsid w:val="00E975B6"/>
    <w:rsid w:val="00EA1294"/>
    <w:rsid w:val="00EA1D9C"/>
    <w:rsid w:val="00EA2D44"/>
    <w:rsid w:val="00EA3647"/>
    <w:rsid w:val="00EA585D"/>
    <w:rsid w:val="00EA68B2"/>
    <w:rsid w:val="00EA6BCD"/>
    <w:rsid w:val="00EA72C4"/>
    <w:rsid w:val="00EA768C"/>
    <w:rsid w:val="00EB1D10"/>
    <w:rsid w:val="00EB1E96"/>
    <w:rsid w:val="00EB206E"/>
    <w:rsid w:val="00EB3A6F"/>
    <w:rsid w:val="00EB6DB2"/>
    <w:rsid w:val="00EB785A"/>
    <w:rsid w:val="00EB7E70"/>
    <w:rsid w:val="00EC05AB"/>
    <w:rsid w:val="00EC1BFC"/>
    <w:rsid w:val="00EC41D0"/>
    <w:rsid w:val="00ED00F4"/>
    <w:rsid w:val="00ED4CC8"/>
    <w:rsid w:val="00ED53FA"/>
    <w:rsid w:val="00ED54C4"/>
    <w:rsid w:val="00EE0176"/>
    <w:rsid w:val="00EE2200"/>
    <w:rsid w:val="00EE4C31"/>
    <w:rsid w:val="00EE7419"/>
    <w:rsid w:val="00EF00D2"/>
    <w:rsid w:val="00EF1A6D"/>
    <w:rsid w:val="00EF3DEB"/>
    <w:rsid w:val="00EF609E"/>
    <w:rsid w:val="00F00BED"/>
    <w:rsid w:val="00F03684"/>
    <w:rsid w:val="00F03830"/>
    <w:rsid w:val="00F054E0"/>
    <w:rsid w:val="00F05AED"/>
    <w:rsid w:val="00F210EA"/>
    <w:rsid w:val="00F21CEE"/>
    <w:rsid w:val="00F25DEF"/>
    <w:rsid w:val="00F272D8"/>
    <w:rsid w:val="00F30C9A"/>
    <w:rsid w:val="00F31AC7"/>
    <w:rsid w:val="00F333F3"/>
    <w:rsid w:val="00F33813"/>
    <w:rsid w:val="00F3386C"/>
    <w:rsid w:val="00F36005"/>
    <w:rsid w:val="00F37FD6"/>
    <w:rsid w:val="00F41A18"/>
    <w:rsid w:val="00F46EE7"/>
    <w:rsid w:val="00F47D0A"/>
    <w:rsid w:val="00F514E4"/>
    <w:rsid w:val="00F54735"/>
    <w:rsid w:val="00F55610"/>
    <w:rsid w:val="00F55B2B"/>
    <w:rsid w:val="00F61064"/>
    <w:rsid w:val="00F61EC0"/>
    <w:rsid w:val="00F6260A"/>
    <w:rsid w:val="00F62E37"/>
    <w:rsid w:val="00F62F2C"/>
    <w:rsid w:val="00F6375F"/>
    <w:rsid w:val="00F65704"/>
    <w:rsid w:val="00F65A02"/>
    <w:rsid w:val="00F71EBC"/>
    <w:rsid w:val="00F810C2"/>
    <w:rsid w:val="00F81CC6"/>
    <w:rsid w:val="00F82EDE"/>
    <w:rsid w:val="00F878BA"/>
    <w:rsid w:val="00F90640"/>
    <w:rsid w:val="00F90C29"/>
    <w:rsid w:val="00FA0B16"/>
    <w:rsid w:val="00FA25BA"/>
    <w:rsid w:val="00FA3A3D"/>
    <w:rsid w:val="00FA4E73"/>
    <w:rsid w:val="00FA71CB"/>
    <w:rsid w:val="00FA7D9A"/>
    <w:rsid w:val="00FB0901"/>
    <w:rsid w:val="00FB6C26"/>
    <w:rsid w:val="00FB6EA5"/>
    <w:rsid w:val="00FB70DB"/>
    <w:rsid w:val="00FC35ED"/>
    <w:rsid w:val="00FD2B5A"/>
    <w:rsid w:val="00FD3734"/>
    <w:rsid w:val="00FD3F95"/>
    <w:rsid w:val="00FD6319"/>
    <w:rsid w:val="00FD7EEC"/>
    <w:rsid w:val="00FE5534"/>
    <w:rsid w:val="00FE6608"/>
    <w:rsid w:val="00FF7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7EF29-DAE6-4BF9-97F1-1FD76388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A202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nhideWhenUsed/>
    <w:rsid w:val="000236D5"/>
    <w:pPr>
      <w:spacing w:after="0" w:line="240" w:lineRule="auto"/>
    </w:pPr>
    <w:rPr>
      <w:szCs w:val="20"/>
    </w:rPr>
  </w:style>
  <w:style w:type="character" w:customStyle="1" w:styleId="VoetnoottekstChar">
    <w:name w:val="Voetnoottekst Char"/>
    <w:basedOn w:val="Standaardalinea-lettertype"/>
    <w:link w:val="Voetnoottekst"/>
    <w:rsid w:val="000236D5"/>
    <w:rPr>
      <w:szCs w:val="20"/>
    </w:rPr>
  </w:style>
  <w:style w:type="character" w:styleId="Voetnootmarkering">
    <w:name w:val="footnote reference"/>
    <w:basedOn w:val="Standaardalinea-lettertype"/>
    <w:unhideWhenUsed/>
    <w:rsid w:val="000236D5"/>
    <w:rPr>
      <w:vertAlign w:val="superscript"/>
    </w:rPr>
  </w:style>
  <w:style w:type="paragraph" w:styleId="Ballontekst">
    <w:name w:val="Balloon Text"/>
    <w:basedOn w:val="Standaard"/>
    <w:link w:val="BallontekstChar"/>
    <w:uiPriority w:val="99"/>
    <w:semiHidden/>
    <w:unhideWhenUsed/>
    <w:rsid w:val="00041C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1C5C"/>
    <w:rPr>
      <w:rFonts w:ascii="Segoe UI" w:hAnsi="Segoe UI" w:cs="Segoe UI"/>
      <w:sz w:val="18"/>
      <w:szCs w:val="18"/>
    </w:rPr>
  </w:style>
  <w:style w:type="paragraph" w:styleId="Eindnoottekst">
    <w:name w:val="endnote text"/>
    <w:basedOn w:val="Standaard"/>
    <w:link w:val="EindnoottekstChar"/>
    <w:uiPriority w:val="99"/>
    <w:semiHidden/>
    <w:unhideWhenUsed/>
    <w:rsid w:val="00612E6B"/>
    <w:pPr>
      <w:spacing w:after="0" w:line="240" w:lineRule="auto"/>
    </w:pPr>
    <w:rPr>
      <w:szCs w:val="20"/>
    </w:rPr>
  </w:style>
  <w:style w:type="character" w:customStyle="1" w:styleId="EindnoottekstChar">
    <w:name w:val="Eindnoottekst Char"/>
    <w:basedOn w:val="Standaardalinea-lettertype"/>
    <w:link w:val="Eindnoottekst"/>
    <w:uiPriority w:val="99"/>
    <w:semiHidden/>
    <w:rsid w:val="00612E6B"/>
    <w:rPr>
      <w:szCs w:val="20"/>
    </w:rPr>
  </w:style>
  <w:style w:type="character" w:styleId="Eindnootmarkering">
    <w:name w:val="endnote reference"/>
    <w:basedOn w:val="Standaardalinea-lettertype"/>
    <w:uiPriority w:val="99"/>
    <w:semiHidden/>
    <w:unhideWhenUsed/>
    <w:rsid w:val="00612E6B"/>
    <w:rPr>
      <w:vertAlign w:val="superscript"/>
    </w:rPr>
  </w:style>
  <w:style w:type="paragraph" w:styleId="Koptekst">
    <w:name w:val="header"/>
    <w:basedOn w:val="Standaard"/>
    <w:link w:val="KoptekstChar"/>
    <w:uiPriority w:val="99"/>
    <w:unhideWhenUsed/>
    <w:rsid w:val="00ED53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53FA"/>
  </w:style>
  <w:style w:type="paragraph" w:styleId="Voettekst">
    <w:name w:val="footer"/>
    <w:basedOn w:val="Standaard"/>
    <w:link w:val="VoettekstChar"/>
    <w:uiPriority w:val="99"/>
    <w:unhideWhenUsed/>
    <w:rsid w:val="00ED53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53FA"/>
  </w:style>
  <w:style w:type="character" w:styleId="Regelnummer">
    <w:name w:val="line number"/>
    <w:basedOn w:val="Standaardalinea-lettertype"/>
    <w:uiPriority w:val="99"/>
    <w:semiHidden/>
    <w:unhideWhenUsed/>
    <w:rsid w:val="00ED53FA"/>
  </w:style>
  <w:style w:type="character" w:styleId="Hyperlink">
    <w:name w:val="Hyperlink"/>
    <w:basedOn w:val="Standaardalinea-lettertype"/>
    <w:uiPriority w:val="99"/>
    <w:unhideWhenUsed/>
    <w:rsid w:val="00032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18198">
      <w:bodyDiv w:val="1"/>
      <w:marLeft w:val="0"/>
      <w:marRight w:val="0"/>
      <w:marTop w:val="0"/>
      <w:marBottom w:val="0"/>
      <w:divBdr>
        <w:top w:val="none" w:sz="0" w:space="0" w:color="auto"/>
        <w:left w:val="none" w:sz="0" w:space="0" w:color="auto"/>
        <w:bottom w:val="none" w:sz="0" w:space="0" w:color="auto"/>
        <w:right w:val="none" w:sz="0" w:space="0" w:color="auto"/>
      </w:divBdr>
      <w:divsChild>
        <w:div w:id="457645019">
          <w:marLeft w:val="0"/>
          <w:marRight w:val="0"/>
          <w:marTop w:val="0"/>
          <w:marBottom w:val="0"/>
          <w:divBdr>
            <w:top w:val="none" w:sz="0" w:space="0" w:color="auto"/>
            <w:left w:val="none" w:sz="0" w:space="0" w:color="auto"/>
            <w:bottom w:val="none" w:sz="0" w:space="0" w:color="auto"/>
            <w:right w:val="none" w:sz="0" w:space="0" w:color="auto"/>
          </w:divBdr>
          <w:divsChild>
            <w:div w:id="1463385024">
              <w:marLeft w:val="0"/>
              <w:marRight w:val="0"/>
              <w:marTop w:val="0"/>
              <w:marBottom w:val="0"/>
              <w:divBdr>
                <w:top w:val="none" w:sz="0" w:space="0" w:color="auto"/>
                <w:left w:val="none" w:sz="0" w:space="0" w:color="auto"/>
                <w:bottom w:val="none" w:sz="0" w:space="0" w:color="auto"/>
                <w:right w:val="none" w:sz="0" w:space="0" w:color="auto"/>
              </w:divBdr>
              <w:divsChild>
                <w:div w:id="1122649732">
                  <w:marLeft w:val="0"/>
                  <w:marRight w:val="0"/>
                  <w:marTop w:val="0"/>
                  <w:marBottom w:val="0"/>
                  <w:divBdr>
                    <w:top w:val="none" w:sz="0" w:space="0" w:color="auto"/>
                    <w:left w:val="none" w:sz="0" w:space="0" w:color="auto"/>
                    <w:bottom w:val="none" w:sz="0" w:space="0" w:color="auto"/>
                    <w:right w:val="none" w:sz="0" w:space="0" w:color="auto"/>
                  </w:divBdr>
                  <w:divsChild>
                    <w:div w:id="266041321">
                      <w:marLeft w:val="0"/>
                      <w:marRight w:val="0"/>
                      <w:marTop w:val="0"/>
                      <w:marBottom w:val="0"/>
                      <w:divBdr>
                        <w:top w:val="none" w:sz="0" w:space="0" w:color="auto"/>
                        <w:left w:val="none" w:sz="0" w:space="0" w:color="auto"/>
                        <w:bottom w:val="none" w:sz="0" w:space="0" w:color="auto"/>
                        <w:right w:val="none" w:sz="0" w:space="0" w:color="auto"/>
                      </w:divBdr>
                      <w:divsChild>
                        <w:div w:id="1376351457">
                          <w:marLeft w:val="0"/>
                          <w:marRight w:val="0"/>
                          <w:marTop w:val="0"/>
                          <w:marBottom w:val="0"/>
                          <w:divBdr>
                            <w:top w:val="none" w:sz="0" w:space="0" w:color="auto"/>
                            <w:left w:val="none" w:sz="0" w:space="0" w:color="auto"/>
                            <w:bottom w:val="none" w:sz="0" w:space="0" w:color="auto"/>
                            <w:right w:val="none" w:sz="0" w:space="0" w:color="auto"/>
                          </w:divBdr>
                          <w:divsChild>
                            <w:div w:id="427510791">
                              <w:marLeft w:val="0"/>
                              <w:marRight w:val="0"/>
                              <w:marTop w:val="0"/>
                              <w:marBottom w:val="0"/>
                              <w:divBdr>
                                <w:top w:val="none" w:sz="0" w:space="0" w:color="auto"/>
                                <w:left w:val="none" w:sz="0" w:space="0" w:color="auto"/>
                                <w:bottom w:val="none" w:sz="0" w:space="0" w:color="auto"/>
                                <w:right w:val="none" w:sz="0" w:space="0" w:color="auto"/>
                              </w:divBdr>
                              <w:divsChild>
                                <w:div w:id="746808548">
                                  <w:marLeft w:val="0"/>
                                  <w:marRight w:val="0"/>
                                  <w:marTop w:val="0"/>
                                  <w:marBottom w:val="0"/>
                                  <w:divBdr>
                                    <w:top w:val="none" w:sz="0" w:space="0" w:color="auto"/>
                                    <w:left w:val="none" w:sz="0" w:space="0" w:color="auto"/>
                                    <w:bottom w:val="none" w:sz="0" w:space="0" w:color="auto"/>
                                    <w:right w:val="none" w:sz="0" w:space="0" w:color="auto"/>
                                  </w:divBdr>
                                  <w:divsChild>
                                    <w:div w:id="518350750">
                                      <w:marLeft w:val="0"/>
                                      <w:marRight w:val="0"/>
                                      <w:marTop w:val="0"/>
                                      <w:marBottom w:val="0"/>
                                      <w:divBdr>
                                        <w:top w:val="none" w:sz="0" w:space="0" w:color="auto"/>
                                        <w:left w:val="none" w:sz="0" w:space="0" w:color="auto"/>
                                        <w:bottom w:val="none" w:sz="0" w:space="0" w:color="auto"/>
                                        <w:right w:val="none" w:sz="0" w:space="0" w:color="auto"/>
                                      </w:divBdr>
                                      <w:divsChild>
                                        <w:div w:id="1527056612">
                                          <w:marLeft w:val="0"/>
                                          <w:marRight w:val="0"/>
                                          <w:marTop w:val="0"/>
                                          <w:marBottom w:val="0"/>
                                          <w:divBdr>
                                            <w:top w:val="none" w:sz="0" w:space="0" w:color="auto"/>
                                            <w:left w:val="none" w:sz="0" w:space="0" w:color="auto"/>
                                            <w:bottom w:val="none" w:sz="0" w:space="0" w:color="auto"/>
                                            <w:right w:val="none" w:sz="0" w:space="0" w:color="auto"/>
                                          </w:divBdr>
                                          <w:divsChild>
                                            <w:div w:id="1206411233">
                                              <w:marLeft w:val="0"/>
                                              <w:marRight w:val="0"/>
                                              <w:marTop w:val="0"/>
                                              <w:marBottom w:val="0"/>
                                              <w:divBdr>
                                                <w:top w:val="none" w:sz="0" w:space="0" w:color="auto"/>
                                                <w:left w:val="none" w:sz="0" w:space="0" w:color="auto"/>
                                                <w:bottom w:val="none" w:sz="0" w:space="0" w:color="auto"/>
                                                <w:right w:val="none" w:sz="0" w:space="0" w:color="auto"/>
                                              </w:divBdr>
                                              <w:divsChild>
                                                <w:div w:id="262033062">
                                                  <w:marLeft w:val="0"/>
                                                  <w:marRight w:val="0"/>
                                                  <w:marTop w:val="0"/>
                                                  <w:marBottom w:val="0"/>
                                                  <w:divBdr>
                                                    <w:top w:val="none" w:sz="0" w:space="0" w:color="auto"/>
                                                    <w:left w:val="none" w:sz="0" w:space="0" w:color="auto"/>
                                                    <w:bottom w:val="none" w:sz="0" w:space="0" w:color="auto"/>
                                                    <w:right w:val="none" w:sz="0" w:space="0" w:color="auto"/>
                                                  </w:divBdr>
                                                  <w:divsChild>
                                                    <w:div w:id="1945920322">
                                                      <w:marLeft w:val="0"/>
                                                      <w:marRight w:val="0"/>
                                                      <w:marTop w:val="0"/>
                                                      <w:marBottom w:val="0"/>
                                                      <w:divBdr>
                                                        <w:top w:val="none" w:sz="0" w:space="0" w:color="auto"/>
                                                        <w:left w:val="none" w:sz="0" w:space="0" w:color="auto"/>
                                                        <w:bottom w:val="none" w:sz="0" w:space="0" w:color="auto"/>
                                                        <w:right w:val="none" w:sz="0" w:space="0" w:color="auto"/>
                                                      </w:divBdr>
                                                      <w:divsChild>
                                                        <w:div w:id="1406343343">
                                                          <w:marLeft w:val="0"/>
                                                          <w:marRight w:val="0"/>
                                                          <w:marTop w:val="0"/>
                                                          <w:marBottom w:val="0"/>
                                                          <w:divBdr>
                                                            <w:top w:val="none" w:sz="0" w:space="0" w:color="auto"/>
                                                            <w:left w:val="none" w:sz="0" w:space="0" w:color="auto"/>
                                                            <w:bottom w:val="none" w:sz="0" w:space="0" w:color="auto"/>
                                                            <w:right w:val="none" w:sz="0" w:space="0" w:color="auto"/>
                                                          </w:divBdr>
                                                          <w:divsChild>
                                                            <w:div w:id="417989718">
                                                              <w:marLeft w:val="0"/>
                                                              <w:marRight w:val="0"/>
                                                              <w:marTop w:val="0"/>
                                                              <w:marBottom w:val="0"/>
                                                              <w:divBdr>
                                                                <w:top w:val="none" w:sz="0" w:space="0" w:color="auto"/>
                                                                <w:left w:val="none" w:sz="0" w:space="0" w:color="auto"/>
                                                                <w:bottom w:val="none" w:sz="0" w:space="0" w:color="auto"/>
                                                                <w:right w:val="none" w:sz="0" w:space="0" w:color="auto"/>
                                                              </w:divBdr>
                                                              <w:divsChild>
                                                                <w:div w:id="434253077">
                                                                  <w:marLeft w:val="0"/>
                                                                  <w:marRight w:val="0"/>
                                                                  <w:marTop w:val="0"/>
                                                                  <w:marBottom w:val="0"/>
                                                                  <w:divBdr>
                                                                    <w:top w:val="none" w:sz="0" w:space="0" w:color="auto"/>
                                                                    <w:left w:val="none" w:sz="0" w:space="0" w:color="auto"/>
                                                                    <w:bottom w:val="none" w:sz="0" w:space="0" w:color="auto"/>
                                                                    <w:right w:val="none" w:sz="0" w:space="0" w:color="auto"/>
                                                                  </w:divBdr>
                                                                  <w:divsChild>
                                                                    <w:div w:id="362051463">
                                                                      <w:marLeft w:val="0"/>
                                                                      <w:marRight w:val="0"/>
                                                                      <w:marTop w:val="0"/>
                                                                      <w:marBottom w:val="0"/>
                                                                      <w:divBdr>
                                                                        <w:top w:val="none" w:sz="0" w:space="0" w:color="auto"/>
                                                                        <w:left w:val="none" w:sz="0" w:space="0" w:color="auto"/>
                                                                        <w:bottom w:val="none" w:sz="0" w:space="0" w:color="auto"/>
                                                                        <w:right w:val="none" w:sz="0" w:space="0" w:color="auto"/>
                                                                      </w:divBdr>
                                                                      <w:divsChild>
                                                                        <w:div w:id="1258252082">
                                                                          <w:marLeft w:val="0"/>
                                                                          <w:marRight w:val="0"/>
                                                                          <w:marTop w:val="0"/>
                                                                          <w:marBottom w:val="0"/>
                                                                          <w:divBdr>
                                                                            <w:top w:val="none" w:sz="0" w:space="0" w:color="auto"/>
                                                                            <w:left w:val="none" w:sz="0" w:space="0" w:color="auto"/>
                                                                            <w:bottom w:val="none" w:sz="0" w:space="0" w:color="auto"/>
                                                                            <w:right w:val="none" w:sz="0" w:space="0" w:color="auto"/>
                                                                          </w:divBdr>
                                                                          <w:divsChild>
                                                                            <w:div w:id="410156770">
                                                                              <w:marLeft w:val="0"/>
                                                                              <w:marRight w:val="0"/>
                                                                              <w:marTop w:val="0"/>
                                                                              <w:marBottom w:val="0"/>
                                                                              <w:divBdr>
                                                                                <w:top w:val="none" w:sz="0" w:space="0" w:color="auto"/>
                                                                                <w:left w:val="none" w:sz="0" w:space="0" w:color="auto"/>
                                                                                <w:bottom w:val="none" w:sz="0" w:space="0" w:color="auto"/>
                                                                                <w:right w:val="none" w:sz="0" w:space="0" w:color="auto"/>
                                                                              </w:divBdr>
                                                                              <w:divsChild>
                                                                                <w:div w:id="663775300">
                                                                                  <w:marLeft w:val="0"/>
                                                                                  <w:marRight w:val="0"/>
                                                                                  <w:marTop w:val="0"/>
                                                                                  <w:marBottom w:val="0"/>
                                                                                  <w:divBdr>
                                                                                    <w:top w:val="none" w:sz="0" w:space="0" w:color="auto"/>
                                                                                    <w:left w:val="none" w:sz="0" w:space="0" w:color="auto"/>
                                                                                    <w:bottom w:val="none" w:sz="0" w:space="0" w:color="auto"/>
                                                                                    <w:right w:val="none" w:sz="0" w:space="0" w:color="auto"/>
                                                                                  </w:divBdr>
                                                                                  <w:divsChild>
                                                                                    <w:div w:id="1568608108">
                                                                                      <w:marLeft w:val="0"/>
                                                                                      <w:marRight w:val="0"/>
                                                                                      <w:marTop w:val="0"/>
                                                                                      <w:marBottom w:val="0"/>
                                                                                      <w:divBdr>
                                                                                        <w:top w:val="none" w:sz="0" w:space="0" w:color="auto"/>
                                                                                        <w:left w:val="none" w:sz="0" w:space="0" w:color="auto"/>
                                                                                        <w:bottom w:val="none" w:sz="0" w:space="0" w:color="auto"/>
                                                                                        <w:right w:val="none" w:sz="0" w:space="0" w:color="auto"/>
                                                                                      </w:divBdr>
                                                                                      <w:divsChild>
                                                                                        <w:div w:id="977034849">
                                                                                          <w:marLeft w:val="0"/>
                                                                                          <w:marRight w:val="0"/>
                                                                                          <w:marTop w:val="0"/>
                                                                                          <w:marBottom w:val="0"/>
                                                                                          <w:divBdr>
                                                                                            <w:top w:val="none" w:sz="0" w:space="0" w:color="auto"/>
                                                                                            <w:left w:val="none" w:sz="0" w:space="0" w:color="auto"/>
                                                                                            <w:bottom w:val="none" w:sz="0" w:space="0" w:color="auto"/>
                                                                                            <w:right w:val="none" w:sz="0" w:space="0" w:color="auto"/>
                                                                                          </w:divBdr>
                                                                                          <w:divsChild>
                                                                                            <w:div w:id="202014387">
                                                                                              <w:marLeft w:val="0"/>
                                                                                              <w:marRight w:val="0"/>
                                                                                              <w:marTop w:val="0"/>
                                                                                              <w:marBottom w:val="0"/>
                                                                                              <w:divBdr>
                                                                                                <w:top w:val="none" w:sz="0" w:space="0" w:color="auto"/>
                                                                                                <w:left w:val="none" w:sz="0" w:space="0" w:color="auto"/>
                                                                                                <w:bottom w:val="none" w:sz="0" w:space="0" w:color="auto"/>
                                                                                                <w:right w:val="none" w:sz="0" w:space="0" w:color="auto"/>
                                                                                              </w:divBdr>
                                                                                              <w:divsChild>
                                                                                                <w:div w:id="1270577761">
                                                                                                  <w:marLeft w:val="0"/>
                                                                                                  <w:marRight w:val="0"/>
                                                                                                  <w:marTop w:val="0"/>
                                                                                                  <w:marBottom w:val="0"/>
                                                                                                  <w:divBdr>
                                                                                                    <w:top w:val="none" w:sz="0" w:space="0" w:color="auto"/>
                                                                                                    <w:left w:val="none" w:sz="0" w:space="0" w:color="auto"/>
                                                                                                    <w:bottom w:val="none" w:sz="0" w:space="0" w:color="auto"/>
                                                                                                    <w:right w:val="none" w:sz="0" w:space="0" w:color="auto"/>
                                                                                                  </w:divBdr>
                                                                                                  <w:divsChild>
                                                                                                    <w:div w:id="1774281637">
                                                                                                      <w:marLeft w:val="0"/>
                                                                                                      <w:marRight w:val="0"/>
                                                                                                      <w:marTop w:val="0"/>
                                                                                                      <w:marBottom w:val="0"/>
                                                                                                      <w:divBdr>
                                                                                                        <w:top w:val="none" w:sz="0" w:space="0" w:color="auto"/>
                                                                                                        <w:left w:val="none" w:sz="0" w:space="0" w:color="auto"/>
                                                                                                        <w:bottom w:val="none" w:sz="0" w:space="0" w:color="auto"/>
                                                                                                        <w:right w:val="none" w:sz="0" w:space="0" w:color="auto"/>
                                                                                                      </w:divBdr>
                                                                                                      <w:divsChild>
                                                                                                        <w:div w:id="686179505">
                                                                                                          <w:marLeft w:val="0"/>
                                                                                                          <w:marRight w:val="0"/>
                                                                                                          <w:marTop w:val="0"/>
                                                                                                          <w:marBottom w:val="0"/>
                                                                                                          <w:divBdr>
                                                                                                            <w:top w:val="none" w:sz="0" w:space="0" w:color="auto"/>
                                                                                                            <w:left w:val="none" w:sz="0" w:space="0" w:color="auto"/>
                                                                                                            <w:bottom w:val="none" w:sz="0" w:space="0" w:color="auto"/>
                                                                                                            <w:right w:val="none" w:sz="0" w:space="0" w:color="auto"/>
                                                                                                          </w:divBdr>
                                                                                                          <w:divsChild>
                                                                                                            <w:div w:id="1982808853">
                                                                                                              <w:marLeft w:val="0"/>
                                                                                                              <w:marRight w:val="0"/>
                                                                                                              <w:marTop w:val="0"/>
                                                                                                              <w:marBottom w:val="0"/>
                                                                                                              <w:divBdr>
                                                                                                                <w:top w:val="none" w:sz="0" w:space="0" w:color="auto"/>
                                                                                                                <w:left w:val="none" w:sz="0" w:space="0" w:color="auto"/>
                                                                                                                <w:bottom w:val="none" w:sz="0" w:space="0" w:color="auto"/>
                                                                                                                <w:right w:val="none" w:sz="0" w:space="0" w:color="auto"/>
                                                                                                              </w:divBdr>
                                                                                                              <w:divsChild>
                                                                                                                <w:div w:id="604071823">
                                                                                                                  <w:marLeft w:val="0"/>
                                                                                                                  <w:marRight w:val="0"/>
                                                                                                                  <w:marTop w:val="0"/>
                                                                                                                  <w:marBottom w:val="0"/>
                                                                                                                  <w:divBdr>
                                                                                                                    <w:top w:val="none" w:sz="0" w:space="0" w:color="auto"/>
                                                                                                                    <w:left w:val="none" w:sz="0" w:space="0" w:color="auto"/>
                                                                                                                    <w:bottom w:val="none" w:sz="0" w:space="0" w:color="auto"/>
                                                                                                                    <w:right w:val="none" w:sz="0" w:space="0" w:color="auto"/>
                                                                                                                  </w:divBdr>
                                                                                                                  <w:divsChild>
                                                                                                                    <w:div w:id="837236764">
                                                                                                                      <w:marLeft w:val="0"/>
                                                                                                                      <w:marRight w:val="0"/>
                                                                                                                      <w:marTop w:val="0"/>
                                                                                                                      <w:marBottom w:val="0"/>
                                                                                                                      <w:divBdr>
                                                                                                                        <w:top w:val="none" w:sz="0" w:space="0" w:color="auto"/>
                                                                                                                        <w:left w:val="none" w:sz="0" w:space="0" w:color="auto"/>
                                                                                                                        <w:bottom w:val="none" w:sz="0" w:space="0" w:color="auto"/>
                                                                                                                        <w:right w:val="none" w:sz="0" w:space="0" w:color="auto"/>
                                                                                                                      </w:divBdr>
                                                                                                                      <w:divsChild>
                                                                                                                        <w:div w:id="1093206044">
                                                                                                                          <w:marLeft w:val="0"/>
                                                                                                                          <w:marRight w:val="0"/>
                                                                                                                          <w:marTop w:val="0"/>
                                                                                                                          <w:marBottom w:val="0"/>
                                                                                                                          <w:divBdr>
                                                                                                                            <w:top w:val="none" w:sz="0" w:space="0" w:color="auto"/>
                                                                                                                            <w:left w:val="none" w:sz="0" w:space="0" w:color="auto"/>
                                                                                                                            <w:bottom w:val="none" w:sz="0" w:space="0" w:color="auto"/>
                                                                                                                            <w:right w:val="none" w:sz="0" w:space="0" w:color="auto"/>
                                                                                                                          </w:divBdr>
                                                                                                                          <w:divsChild>
                                                                                                                            <w:div w:id="1970476244">
                                                                                                                              <w:marLeft w:val="0"/>
                                                                                                                              <w:marRight w:val="0"/>
                                                                                                                              <w:marTop w:val="0"/>
                                                                                                                              <w:marBottom w:val="0"/>
                                                                                                                              <w:divBdr>
                                                                                                                                <w:top w:val="none" w:sz="0" w:space="0" w:color="auto"/>
                                                                                                                                <w:left w:val="none" w:sz="0" w:space="0" w:color="auto"/>
                                                                                                                                <w:bottom w:val="none" w:sz="0" w:space="0" w:color="auto"/>
                                                                                                                                <w:right w:val="none" w:sz="0" w:space="0" w:color="auto"/>
                                                                                                                              </w:divBdr>
                                                                                                                            </w:div>
                                                                                                                            <w:div w:id="521935986">
                                                                                                                              <w:marLeft w:val="0"/>
                                                                                                                              <w:marRight w:val="0"/>
                                                                                                                              <w:marTop w:val="0"/>
                                                                                                                              <w:marBottom w:val="0"/>
                                                                                                                              <w:divBdr>
                                                                                                                                <w:top w:val="none" w:sz="0" w:space="0" w:color="auto"/>
                                                                                                                                <w:left w:val="none" w:sz="0" w:space="0" w:color="auto"/>
                                                                                                                                <w:bottom w:val="none" w:sz="0" w:space="0" w:color="auto"/>
                                                                                                                                <w:right w:val="none" w:sz="0" w:space="0" w:color="auto"/>
                                                                                                                              </w:divBdr>
                                                                                                                            </w:div>
                                                                                                                            <w:div w:id="1455369330">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none" w:sz="0" w:space="0" w:color="auto"/>
                                                                                                                                <w:left w:val="none" w:sz="0" w:space="0" w:color="auto"/>
                                                                                                                                <w:bottom w:val="none" w:sz="0" w:space="0" w:color="auto"/>
                                                                                                                                <w:right w:val="none" w:sz="0" w:space="0" w:color="auto"/>
                                                                                                                              </w:divBdr>
                                                                                                                            </w:div>
                                                                                                                            <w:div w:id="15505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2A2F-BB04-4964-9CEF-D3490202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305834F2</Template>
  <TotalTime>9</TotalTime>
  <Pages>3</Pages>
  <Words>2008</Words>
  <Characters>11047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de Hoogh</dc:creator>
  <cp:keywords/>
  <dc:description/>
  <cp:lastModifiedBy>Polman, Jenny</cp:lastModifiedBy>
  <cp:revision>7</cp:revision>
  <cp:lastPrinted>2015-10-19T12:08:00Z</cp:lastPrinted>
  <dcterms:created xsi:type="dcterms:W3CDTF">2015-10-19T06:55:00Z</dcterms:created>
  <dcterms:modified xsi:type="dcterms:W3CDTF">2015-11-02T09:25:00Z</dcterms:modified>
</cp:coreProperties>
</file>