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00" w:rsidRDefault="00A14700" w:rsidP="00A14700">
      <w:pPr>
        <w:rPr>
          <w:rFonts w:ascii="Arial" w:hAnsi="Arial" w:cs="Arial"/>
          <w:sz w:val="20"/>
          <w:szCs w:val="20"/>
        </w:rPr>
      </w:pPr>
      <w:r>
        <w:rPr>
          <w:rFonts w:ascii="Arial" w:hAnsi="Arial" w:cs="Arial"/>
          <w:sz w:val="20"/>
          <w:szCs w:val="20"/>
        </w:rPr>
        <w:t>Geachte heer, mevrouw,</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sz w:val="20"/>
          <w:szCs w:val="20"/>
        </w:rPr>
        <w:t xml:space="preserve">Graag wil ik u informeren over de nieuwe PIV-overeenkomst buitengerechtelijke kosten (BGK) 2016. </w:t>
      </w:r>
    </w:p>
    <w:p w:rsidR="00A14700" w:rsidRDefault="00A14700" w:rsidP="00A14700">
      <w:pPr>
        <w:rPr>
          <w:rFonts w:ascii="Arial" w:hAnsi="Arial" w:cs="Arial"/>
          <w:sz w:val="20"/>
          <w:szCs w:val="20"/>
        </w:rPr>
      </w:pPr>
      <w:r>
        <w:rPr>
          <w:rFonts w:ascii="Arial" w:hAnsi="Arial" w:cs="Arial"/>
          <w:sz w:val="20"/>
          <w:szCs w:val="20"/>
        </w:rPr>
        <w:t xml:space="preserve">Na intensieve besprekingen zijn verzekeraars en belangenbehartigers het eens geworden over een aantal wijzigen ten aanzien van de staffel en de voorschotten.  </w:t>
      </w:r>
    </w:p>
    <w:p w:rsidR="00A14700" w:rsidRDefault="00A14700" w:rsidP="00A14700">
      <w:pPr>
        <w:rPr>
          <w:rFonts w:ascii="Arial" w:hAnsi="Arial" w:cs="Arial"/>
          <w:sz w:val="20"/>
          <w:szCs w:val="20"/>
        </w:rPr>
      </w:pPr>
      <w:r>
        <w:rPr>
          <w:rFonts w:ascii="Arial" w:hAnsi="Arial" w:cs="Arial"/>
          <w:sz w:val="20"/>
          <w:szCs w:val="20"/>
        </w:rPr>
        <w:t xml:space="preserve">Hierbij stuur ik u de nieuwe PIV-overeenkomst BGK, die in de plaats komt van de huidige PIV-overeenkomst BGK 2014 en de nieuwe staffel. </w:t>
      </w:r>
    </w:p>
    <w:p w:rsidR="00A14700" w:rsidRDefault="00A14700" w:rsidP="00A14700">
      <w:pPr>
        <w:rPr>
          <w:rFonts w:ascii="Arial" w:hAnsi="Arial" w:cs="Arial"/>
          <w:sz w:val="20"/>
          <w:szCs w:val="20"/>
        </w:rPr>
      </w:pPr>
      <w:r>
        <w:rPr>
          <w:rFonts w:ascii="Arial" w:hAnsi="Arial" w:cs="Arial"/>
          <w:sz w:val="20"/>
          <w:szCs w:val="20"/>
        </w:rPr>
        <w:t>De nieuwe overeenkomst geldt voor 3 jaar, derhalve vanaf 1 januari 2016 tot en met 31 december 2018.</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sz w:val="20"/>
          <w:szCs w:val="20"/>
        </w:rPr>
        <w:t xml:space="preserve">De wijzigingen zijn de volgende:  </w:t>
      </w:r>
    </w:p>
    <w:p w:rsidR="00A14700" w:rsidRDefault="00A14700" w:rsidP="00A14700">
      <w:pPr>
        <w:rPr>
          <w:rFonts w:ascii="Arial" w:hAnsi="Arial" w:cs="Arial"/>
          <w:sz w:val="20"/>
          <w:szCs w:val="20"/>
        </w:rPr>
      </w:pPr>
    </w:p>
    <w:p w:rsidR="00A14700" w:rsidRDefault="00A14700" w:rsidP="00A14700">
      <w:pPr>
        <w:rPr>
          <w:rFonts w:ascii="Arial" w:hAnsi="Arial" w:cs="Arial"/>
          <w:b/>
          <w:sz w:val="20"/>
          <w:szCs w:val="20"/>
        </w:rPr>
      </w:pPr>
      <w:r>
        <w:rPr>
          <w:rFonts w:ascii="Arial" w:hAnsi="Arial" w:cs="Arial"/>
          <w:b/>
          <w:sz w:val="20"/>
          <w:szCs w:val="20"/>
        </w:rPr>
        <w:t xml:space="preserve">1. staffel </w:t>
      </w:r>
    </w:p>
    <w:p w:rsidR="00A14700" w:rsidRDefault="00A14700" w:rsidP="00A14700">
      <w:pPr>
        <w:pStyle w:val="Lijstalinea"/>
        <w:numPr>
          <w:ilvl w:val="0"/>
          <w:numId w:val="1"/>
        </w:numPr>
        <w:rPr>
          <w:rFonts w:ascii="Arial" w:hAnsi="Arial" w:cs="Arial"/>
          <w:sz w:val="20"/>
          <w:szCs w:val="20"/>
        </w:rPr>
      </w:pPr>
      <w:r>
        <w:rPr>
          <w:rFonts w:ascii="Arial" w:hAnsi="Arial" w:cs="Arial"/>
          <w:sz w:val="20"/>
          <w:szCs w:val="20"/>
        </w:rPr>
        <w:t xml:space="preserve">In de lichtere zaken tot € 10.000,- gaan de staffelbedragen omlaag; in de zaken met een schade tussen € 10.000,- en € 30.000,- gaan de bedragen omhoog. De codevergoeding van € 225,- die in 2014-2015 gold in zaken tussen € 3000,- en € 50.000,-, is in de staffel verdisconteerd. </w:t>
      </w:r>
      <w:r>
        <w:rPr>
          <w:rFonts w:ascii="Arial" w:hAnsi="Arial" w:cs="Arial"/>
          <w:sz w:val="20"/>
          <w:szCs w:val="20"/>
        </w:rPr>
        <w:br/>
        <w:t>Met deze wijzigingen zijn de staffelbedragen meer in overeenstemming met de werkzaamheden die door de belangenbehartiger worden verricht.</w:t>
      </w:r>
    </w:p>
    <w:p w:rsidR="00A14700" w:rsidRDefault="00A14700" w:rsidP="00A14700">
      <w:pPr>
        <w:pStyle w:val="Lijstalinea"/>
        <w:numPr>
          <w:ilvl w:val="0"/>
          <w:numId w:val="1"/>
        </w:numPr>
        <w:rPr>
          <w:rFonts w:ascii="Arial" w:hAnsi="Arial" w:cs="Arial"/>
          <w:sz w:val="20"/>
          <w:szCs w:val="20"/>
        </w:rPr>
      </w:pPr>
      <w:r>
        <w:rPr>
          <w:rFonts w:ascii="Arial" w:hAnsi="Arial" w:cs="Arial"/>
          <w:sz w:val="20"/>
          <w:szCs w:val="20"/>
        </w:rPr>
        <w:t xml:space="preserve">De staffel in zaken &gt; € 250.000,- wordt niet gehandhaafd. </w:t>
      </w:r>
      <w:r>
        <w:rPr>
          <w:rFonts w:ascii="Arial" w:hAnsi="Arial" w:cs="Arial"/>
          <w:sz w:val="20"/>
          <w:szCs w:val="20"/>
        </w:rPr>
        <w:br/>
        <w:t>Wel is er een overgangsregeling voor reeds lopende zaken. Lopende zaken worden, voor zover er een aanvullende overeenkomst was gesloten tussen de belangenbehartiger en de verzekeraar voor zaken &gt; € 250.000,- , afgewikkeld op basis van de staffel van 2015 (art 1.1).</w:t>
      </w:r>
    </w:p>
    <w:p w:rsidR="00A14700" w:rsidRDefault="00A14700" w:rsidP="00A14700">
      <w:pPr>
        <w:rPr>
          <w:rFonts w:ascii="Arial" w:hAnsi="Arial" w:cs="Arial"/>
          <w:sz w:val="20"/>
          <w:szCs w:val="20"/>
        </w:rPr>
      </w:pPr>
      <w:r>
        <w:rPr>
          <w:rFonts w:ascii="Arial" w:hAnsi="Arial" w:cs="Arial"/>
          <w:b/>
          <w:sz w:val="20"/>
          <w:szCs w:val="20"/>
        </w:rPr>
        <w:t xml:space="preserve">2. Voorschotregeling </w:t>
      </w:r>
      <w:r>
        <w:rPr>
          <w:rFonts w:ascii="Arial" w:hAnsi="Arial" w:cs="Arial"/>
          <w:b/>
          <w:sz w:val="20"/>
          <w:szCs w:val="20"/>
        </w:rPr>
        <w:br/>
      </w:r>
      <w:r>
        <w:rPr>
          <w:rFonts w:ascii="Arial" w:hAnsi="Arial" w:cs="Arial"/>
          <w:sz w:val="20"/>
          <w:szCs w:val="20"/>
        </w:rPr>
        <w:t xml:space="preserve">Het huidige eerste voorschot van € 5000,- wordt verlaagd naar € 4000,- in 2016.  </w:t>
      </w:r>
      <w:r>
        <w:rPr>
          <w:rFonts w:ascii="Arial" w:hAnsi="Arial" w:cs="Arial"/>
          <w:sz w:val="20"/>
          <w:szCs w:val="20"/>
        </w:rPr>
        <w:br/>
        <w:t xml:space="preserve">In 2017 wordt het voorschot verder afgebouwd naar € 3500,- en in 2018 naar 3000,- (art 3.1) . </w:t>
      </w:r>
      <w:r>
        <w:rPr>
          <w:rFonts w:ascii="Arial" w:hAnsi="Arial" w:cs="Arial"/>
          <w:sz w:val="20"/>
          <w:szCs w:val="20"/>
        </w:rPr>
        <w:br/>
        <w:t xml:space="preserve">Hier staat tegenover dat de zgn. urenregeling wordt uitgebreid. Indien de belangenbehartiger aantoonbaar meer dan 20 uren aan een zaak heeft besteed heeft hij recht op een aanvullend voorschot (art 3.2) . </w:t>
      </w:r>
      <w:r>
        <w:rPr>
          <w:rFonts w:ascii="Arial" w:hAnsi="Arial" w:cs="Arial"/>
          <w:sz w:val="20"/>
          <w:szCs w:val="20"/>
        </w:rPr>
        <w:br/>
        <w:t>De voorschotten staan door deze wijziging meer in verhouding met het uiteindelijk te betalen staffelbedrag.</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b/>
          <w:sz w:val="20"/>
          <w:szCs w:val="20"/>
        </w:rPr>
        <w:t>3. Betaling medische verschotten</w:t>
      </w:r>
      <w:r>
        <w:rPr>
          <w:rFonts w:ascii="Arial" w:hAnsi="Arial" w:cs="Arial"/>
          <w:b/>
          <w:sz w:val="20"/>
          <w:szCs w:val="20"/>
        </w:rPr>
        <w:br/>
      </w:r>
      <w:r>
        <w:rPr>
          <w:rFonts w:ascii="Arial" w:hAnsi="Arial" w:cs="Arial"/>
          <w:sz w:val="20"/>
          <w:szCs w:val="20"/>
        </w:rPr>
        <w:t xml:space="preserve">Afgesproken is dat belangenbehartigers na een jaar eenmaal  per jaar de kosten van de medisch adviseur en de medische verschotten mag indienen. De verzekeraar vergoedt deze voor zover deze redelijk zijn (art 2.2 en 2.3).   </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b/>
          <w:sz w:val="20"/>
          <w:szCs w:val="20"/>
        </w:rPr>
        <w:t>4. Affectieschade</w:t>
      </w:r>
      <w:r>
        <w:rPr>
          <w:rFonts w:ascii="Arial" w:hAnsi="Arial" w:cs="Arial"/>
          <w:b/>
          <w:sz w:val="20"/>
          <w:szCs w:val="20"/>
        </w:rPr>
        <w:br/>
      </w:r>
      <w:r>
        <w:rPr>
          <w:rFonts w:ascii="Arial" w:hAnsi="Arial" w:cs="Arial"/>
          <w:sz w:val="20"/>
          <w:szCs w:val="20"/>
        </w:rPr>
        <w:t xml:space="preserve">In de overeenkomst is opgenomen dat (toekomstige) affectieschade niet onder de staffel valt (art 2.4). </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b/>
          <w:sz w:val="20"/>
          <w:szCs w:val="20"/>
        </w:rPr>
        <w:t>Lopende zaken</w:t>
      </w:r>
      <w:r>
        <w:rPr>
          <w:rFonts w:ascii="Arial" w:hAnsi="Arial" w:cs="Arial"/>
          <w:b/>
          <w:sz w:val="20"/>
          <w:szCs w:val="20"/>
        </w:rPr>
        <w:br/>
      </w:r>
      <w:r>
        <w:rPr>
          <w:rFonts w:ascii="Arial" w:hAnsi="Arial" w:cs="Arial"/>
          <w:sz w:val="20"/>
          <w:szCs w:val="20"/>
        </w:rPr>
        <w:t xml:space="preserve">De nieuwe bepalingen van de overeenkomst gelden ook voor reeds lopende zaken. Lopende zaken worden vanaf 1 januari 2016 dus volgens de nieuwe staffel afgerekend. </w:t>
      </w:r>
      <w:r>
        <w:rPr>
          <w:rFonts w:ascii="Arial" w:hAnsi="Arial" w:cs="Arial"/>
          <w:sz w:val="20"/>
          <w:szCs w:val="20"/>
        </w:rPr>
        <w:br/>
        <w:t xml:space="preserve">Ten aanzien van de voorschotten geldt dat de belangenbehartiger vanaf 1 januari 2016 om een aanvullend voorschot kan verzoeken indien hij meer dan 20 uur aan een zaak heeft besteed, ook als hij in het verleden een voorschot van € 5000,-. heeft ontvangen. </w:t>
      </w:r>
    </w:p>
    <w:p w:rsidR="00A14700" w:rsidRDefault="00A14700" w:rsidP="00A14700">
      <w:pPr>
        <w:rPr>
          <w:rFonts w:ascii="Arial" w:hAnsi="Arial" w:cs="Arial"/>
          <w:sz w:val="20"/>
          <w:szCs w:val="20"/>
        </w:rPr>
      </w:pPr>
      <w:r>
        <w:rPr>
          <w:rFonts w:ascii="Arial" w:hAnsi="Arial" w:cs="Arial"/>
          <w:sz w:val="20"/>
          <w:szCs w:val="20"/>
        </w:rPr>
        <w:t xml:space="preserve">De bepaling dat de belangenbehartiger de kosten van de medisch adviseur jaarlijks kan indienen geldt ook voor lopende zaken. </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sz w:val="20"/>
          <w:szCs w:val="20"/>
        </w:rPr>
        <w:t xml:space="preserve">De tekst van de PIV-overeenkomst 2016 en de staffel zijn terug te vinden op </w:t>
      </w:r>
      <w:hyperlink r:id="rId5" w:history="1">
        <w:r>
          <w:rPr>
            <w:rStyle w:val="Hyperlink"/>
            <w:rFonts w:ascii="Arial" w:hAnsi="Arial" w:cs="Arial"/>
            <w:sz w:val="20"/>
            <w:szCs w:val="20"/>
          </w:rPr>
          <w:t>http://stichtingpiv.nl/regelingen/convenanten-bgk/</w:t>
        </w:r>
      </w:hyperlink>
      <w:r>
        <w:rPr>
          <w:rFonts w:ascii="Arial" w:hAnsi="Arial" w:cs="Arial"/>
          <w:sz w:val="20"/>
          <w:szCs w:val="20"/>
        </w:rPr>
        <w:t xml:space="preserve">. </w:t>
      </w:r>
      <w:r>
        <w:rPr>
          <w:rFonts w:ascii="Arial" w:hAnsi="Arial" w:cs="Arial"/>
          <w:sz w:val="20"/>
          <w:szCs w:val="20"/>
        </w:rPr>
        <w:br/>
        <w:t xml:space="preserve">Per 1 januari 2016 wordt ook de rekenmodule op de site van het PIV aangepast. </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sz w:val="20"/>
          <w:szCs w:val="20"/>
        </w:rPr>
        <w:t xml:space="preserve">Indien u nog vragen hebt, kunt u uiteraard bij het PIV terecht. </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r>
        <w:rPr>
          <w:rFonts w:ascii="Arial" w:hAnsi="Arial" w:cs="Arial"/>
          <w:sz w:val="20"/>
          <w:szCs w:val="20"/>
        </w:rPr>
        <w:t xml:space="preserve">Met vriendelijke groet, </w:t>
      </w:r>
    </w:p>
    <w:p w:rsidR="00A14700" w:rsidRDefault="00A14700" w:rsidP="00A14700">
      <w:pPr>
        <w:rPr>
          <w:rFonts w:ascii="Arial" w:hAnsi="Arial" w:cs="Arial"/>
          <w:sz w:val="20"/>
          <w:szCs w:val="20"/>
        </w:rPr>
      </w:pPr>
    </w:p>
    <w:p w:rsidR="00A14700" w:rsidRDefault="00A14700" w:rsidP="00A14700">
      <w:pPr>
        <w:rPr>
          <w:rFonts w:ascii="Arial" w:hAnsi="Arial" w:cs="Arial"/>
          <w:sz w:val="20"/>
          <w:szCs w:val="20"/>
        </w:rPr>
      </w:pPr>
    </w:p>
    <w:p w:rsidR="00A14700" w:rsidRDefault="00A14700" w:rsidP="00A14700">
      <w:pPr>
        <w:rPr>
          <w:rFonts w:eastAsiaTheme="minorEastAsia"/>
          <w:noProof/>
          <w:color w:val="000000"/>
          <w:sz w:val="16"/>
          <w:szCs w:val="16"/>
          <w:lang w:eastAsia="nl-NL"/>
        </w:rPr>
      </w:pPr>
      <w:bookmarkStart w:id="0" w:name="_MailAutoSig"/>
      <w:r>
        <w:rPr>
          <w:rFonts w:eastAsiaTheme="minorEastAsia"/>
          <w:noProof/>
          <w:color w:val="000000"/>
          <w:sz w:val="16"/>
          <w:szCs w:val="16"/>
          <w:lang w:eastAsia="nl-NL"/>
        </w:rPr>
        <w:t>Monique Volker</w:t>
      </w:r>
    </w:p>
    <w:p w:rsidR="00A14700" w:rsidRDefault="00A14700" w:rsidP="00A14700">
      <w:pPr>
        <w:rPr>
          <w:rFonts w:eastAsiaTheme="minorEastAsia"/>
          <w:noProof/>
          <w:color w:val="000000"/>
          <w:lang w:eastAsia="nl-NL"/>
        </w:rPr>
      </w:pPr>
      <w:r>
        <w:rPr>
          <w:rFonts w:eastAsiaTheme="minorEastAsia"/>
          <w:noProof/>
          <w:color w:val="000000"/>
          <w:lang w:eastAsia="nl-NL"/>
        </w:rPr>
        <w:lastRenderedPageBreak/>
        <w:t> </w:t>
      </w:r>
    </w:p>
    <w:p w:rsidR="00A14700" w:rsidRDefault="00A14700" w:rsidP="00A14700">
      <w:pPr>
        <w:rPr>
          <w:rFonts w:eastAsiaTheme="minorEastAsia"/>
          <w:noProof/>
          <w:color w:val="000000"/>
          <w:lang w:eastAsia="nl-NL"/>
        </w:rPr>
      </w:pPr>
      <w:r>
        <w:rPr>
          <w:rFonts w:eastAsiaTheme="minorEastAsia"/>
          <w:noProof/>
          <w:color w:val="000000"/>
          <w:sz w:val="15"/>
          <w:szCs w:val="15"/>
          <w:lang w:eastAsia="nl-NL"/>
        </w:rPr>
        <w:t>Stichting Personenschade Instituut van Verzekeraars</w:t>
      </w:r>
    </w:p>
    <w:p w:rsidR="00A14700" w:rsidRDefault="00A14700" w:rsidP="00A14700">
      <w:pPr>
        <w:rPr>
          <w:rFonts w:eastAsiaTheme="minorEastAsia"/>
          <w:noProof/>
          <w:color w:val="000000"/>
          <w:lang w:eastAsia="nl-NL"/>
        </w:rPr>
      </w:pPr>
      <w:r>
        <w:rPr>
          <w:rFonts w:eastAsiaTheme="minorEastAsia"/>
          <w:noProof/>
          <w:color w:val="000000"/>
          <w:sz w:val="15"/>
          <w:szCs w:val="15"/>
          <w:lang w:eastAsia="nl-NL"/>
        </w:rPr>
        <w:t>Bordewijklaan 2</w:t>
      </w:r>
    </w:p>
    <w:p w:rsidR="00A14700" w:rsidRDefault="00A14700" w:rsidP="00A14700">
      <w:pPr>
        <w:rPr>
          <w:rFonts w:eastAsiaTheme="minorEastAsia"/>
          <w:noProof/>
          <w:color w:val="000000"/>
          <w:lang w:eastAsia="nl-NL"/>
        </w:rPr>
      </w:pPr>
      <w:r>
        <w:rPr>
          <w:rFonts w:eastAsiaTheme="minorEastAsia"/>
          <w:noProof/>
          <w:color w:val="000000"/>
          <w:sz w:val="15"/>
          <w:szCs w:val="15"/>
          <w:lang w:eastAsia="nl-NL"/>
        </w:rPr>
        <w:t>2591 XR Den Haag</w:t>
      </w:r>
    </w:p>
    <w:p w:rsidR="00A14700" w:rsidRDefault="00A14700" w:rsidP="00A14700">
      <w:pPr>
        <w:rPr>
          <w:rFonts w:eastAsiaTheme="minorEastAsia"/>
          <w:noProof/>
          <w:color w:val="000000"/>
          <w:lang w:eastAsia="nl-NL"/>
        </w:rPr>
      </w:pPr>
      <w:r>
        <w:rPr>
          <w:rFonts w:eastAsiaTheme="minorEastAsia"/>
          <w:noProof/>
          <w:color w:val="000000"/>
          <w:lang w:eastAsia="nl-NL"/>
        </w:rPr>
        <w:t> </w:t>
      </w:r>
    </w:p>
    <w:p w:rsidR="00A14700" w:rsidRDefault="00A14700" w:rsidP="00A14700">
      <w:pPr>
        <w:rPr>
          <w:rFonts w:eastAsiaTheme="minorEastAsia"/>
          <w:noProof/>
          <w:color w:val="000000"/>
          <w:lang w:eastAsia="nl-NL"/>
        </w:rPr>
      </w:pPr>
      <w:r>
        <w:rPr>
          <w:rFonts w:eastAsiaTheme="minorEastAsia"/>
          <w:noProof/>
          <w:color w:val="000000"/>
          <w:sz w:val="15"/>
          <w:szCs w:val="15"/>
          <w:lang w:eastAsia="nl-NL"/>
        </w:rPr>
        <w:t>Postbus 93450</w:t>
      </w:r>
    </w:p>
    <w:p w:rsidR="00A14700" w:rsidRDefault="00A14700" w:rsidP="00A14700">
      <w:pPr>
        <w:rPr>
          <w:rFonts w:eastAsiaTheme="minorEastAsia"/>
          <w:noProof/>
          <w:color w:val="000000"/>
          <w:lang w:eastAsia="nl-NL"/>
        </w:rPr>
      </w:pPr>
      <w:r>
        <w:rPr>
          <w:rFonts w:eastAsiaTheme="minorEastAsia"/>
          <w:noProof/>
          <w:color w:val="000000"/>
          <w:sz w:val="15"/>
          <w:szCs w:val="15"/>
          <w:lang w:val="de-DE" w:eastAsia="nl-NL"/>
        </w:rPr>
        <w:t>2509 XR Den Haag</w:t>
      </w:r>
    </w:p>
    <w:p w:rsidR="00A14700" w:rsidRDefault="00A14700" w:rsidP="00A14700">
      <w:pPr>
        <w:rPr>
          <w:rFonts w:eastAsiaTheme="minorEastAsia"/>
          <w:noProof/>
          <w:color w:val="000000"/>
          <w:lang w:eastAsia="nl-NL"/>
        </w:rPr>
      </w:pPr>
      <w:r>
        <w:rPr>
          <w:rFonts w:eastAsiaTheme="minorEastAsia"/>
          <w:noProof/>
          <w:color w:val="000000"/>
          <w:lang w:eastAsia="nl-NL"/>
        </w:rPr>
        <w:t> </w:t>
      </w:r>
    </w:p>
    <w:p w:rsidR="00A14700" w:rsidRDefault="00A14700" w:rsidP="00A14700">
      <w:pPr>
        <w:rPr>
          <w:rFonts w:eastAsiaTheme="minorEastAsia"/>
          <w:noProof/>
          <w:color w:val="000000"/>
          <w:lang w:eastAsia="nl-NL"/>
        </w:rPr>
      </w:pPr>
      <w:hyperlink r:id="rId6" w:tgtFrame="_blank" w:tooltip="mailto:m.volker@verzekeraars.nl" w:history="1">
        <w:r>
          <w:rPr>
            <w:rStyle w:val="Hyperlink"/>
            <w:rFonts w:eastAsiaTheme="minorEastAsia"/>
            <w:noProof/>
            <w:color w:val="0000FF"/>
            <w:sz w:val="15"/>
            <w:szCs w:val="15"/>
            <w:lang w:val="de-DE" w:eastAsia="nl-NL"/>
          </w:rPr>
          <w:t>m.volker@verzekeraars.nl</w:t>
        </w:r>
      </w:hyperlink>
    </w:p>
    <w:p w:rsidR="00A14700" w:rsidRDefault="00A14700" w:rsidP="00A14700">
      <w:pPr>
        <w:rPr>
          <w:rFonts w:eastAsiaTheme="minorEastAsia"/>
          <w:noProof/>
          <w:color w:val="000000"/>
          <w:lang w:eastAsia="nl-NL"/>
        </w:rPr>
      </w:pPr>
      <w:r>
        <w:rPr>
          <w:rFonts w:eastAsiaTheme="minorEastAsia"/>
          <w:noProof/>
          <w:color w:val="000000"/>
          <w:lang w:eastAsia="nl-NL"/>
        </w:rPr>
        <w:t> </w:t>
      </w:r>
    </w:p>
    <w:p w:rsidR="00A14700" w:rsidRDefault="00A14700" w:rsidP="00A14700">
      <w:pPr>
        <w:rPr>
          <w:rFonts w:eastAsiaTheme="minorEastAsia"/>
          <w:noProof/>
          <w:color w:val="000000"/>
          <w:lang w:eastAsia="nl-NL"/>
        </w:rPr>
      </w:pPr>
      <w:r>
        <w:rPr>
          <w:rFonts w:eastAsiaTheme="minorEastAsia"/>
          <w:noProof/>
          <w:color w:val="000000"/>
          <w:sz w:val="15"/>
          <w:szCs w:val="15"/>
          <w:lang w:eastAsia="nl-NL"/>
        </w:rPr>
        <w:t>070 - 333 88 07</w:t>
      </w:r>
    </w:p>
    <w:bookmarkEnd w:id="0"/>
    <w:p w:rsidR="00A14700" w:rsidRDefault="00A14700" w:rsidP="00A14700"/>
    <w:p w:rsidR="00FE1A66" w:rsidRDefault="00FE1A66">
      <w:bookmarkStart w:id="1" w:name="_GoBack"/>
      <w:bookmarkEnd w:id="1"/>
    </w:p>
    <w:sectPr w:rsidR="00FE1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4682"/>
    <w:multiLevelType w:val="hybridMultilevel"/>
    <w:tmpl w:val="1A7E9E86"/>
    <w:lvl w:ilvl="0" w:tplc="D08E4EB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00"/>
    <w:rsid w:val="00A14700"/>
    <w:rsid w:val="00FE1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92755-D4B5-4987-905E-4D9B325B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4700"/>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4700"/>
    <w:rPr>
      <w:color w:val="0563C1" w:themeColor="hyperlink"/>
      <w:u w:val="single"/>
    </w:rPr>
  </w:style>
  <w:style w:type="paragraph" w:styleId="Lijstalinea">
    <w:name w:val="List Paragraph"/>
    <w:basedOn w:val="Standaard"/>
    <w:uiPriority w:val="34"/>
    <w:qFormat/>
    <w:rsid w:val="00A14700"/>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olker@verzekeraars.nl" TargetMode="External"/><Relationship Id="rId5" Type="http://schemas.openxmlformats.org/officeDocument/2006/relationships/hyperlink" Target="http://stichtingpiv.nl/regelingen/convenanten-bg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7633C73A</Template>
  <TotalTime>7</TotalTime>
  <Pages>2</Pages>
  <Words>503</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Tesy ORG</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Monique</dc:creator>
  <cp:keywords/>
  <dc:description/>
  <cp:lastModifiedBy>Volker, Monique</cp:lastModifiedBy>
  <cp:revision>1</cp:revision>
  <dcterms:created xsi:type="dcterms:W3CDTF">2015-12-21T10:52:00Z</dcterms:created>
  <dcterms:modified xsi:type="dcterms:W3CDTF">2015-12-21T11:04:00Z</dcterms:modified>
</cp:coreProperties>
</file>